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A2" w:rsidRDefault="00BD58A2" w:rsidP="00BD58A2">
      <w:pPr>
        <w:pStyle w:val="Heading1"/>
      </w:pPr>
      <w:bookmarkStart w:id="0" w:name="_Toc367706456"/>
      <w:bookmarkStart w:id="1" w:name="_Toc238291647"/>
      <w:bookmarkStart w:id="2" w:name="_GoBack"/>
      <w:bookmarkEnd w:id="2"/>
      <w:r>
        <w:t>Whiteface CISD Employee Benefits plan</w:t>
      </w:r>
      <w:bookmarkEnd w:id="0"/>
    </w:p>
    <w:p w:rsidR="00BD58A2" w:rsidRDefault="00BD58A2" w:rsidP="00BD58A2">
      <w:pPr>
        <w:pStyle w:val="Heading1"/>
      </w:pPr>
    </w:p>
    <w:p w:rsidR="00BD58A2" w:rsidRDefault="00BD58A2" w:rsidP="00BD58A2">
      <w:pPr>
        <w:pStyle w:val="Heading1"/>
      </w:pPr>
      <w:bookmarkStart w:id="3" w:name="_Toc367706457"/>
      <w:r>
        <w:t>SCHEDULE OF MEDICAL BENEFITS</w:t>
      </w:r>
      <w:bookmarkEnd w:id="1"/>
      <w:bookmarkEnd w:id="3"/>
      <w:r>
        <w:tab/>
      </w:r>
    </w:p>
    <w:p w:rsidR="00BD58A2" w:rsidRDefault="00BD58A2" w:rsidP="00BD58A2">
      <w:pPr>
        <w:suppressAutoHyphens/>
        <w:spacing w:after="240"/>
      </w:pPr>
      <w:r>
        <w:t xml:space="preserve">Our Plan has changed effective September 1, 2013.  The Plan is a member of the </w:t>
      </w:r>
      <w:proofErr w:type="spellStart"/>
      <w:r>
        <w:t>Healthsmart</w:t>
      </w:r>
      <w:proofErr w:type="spellEnd"/>
      <w:r>
        <w:t xml:space="preserve"> PPO network; however, the PPO network does not include any facilities.  Facilities are considered Section I providers which includes hospitals, clinics, ambulatory surgery centers and other covered facilities.  For these services, there will be no benefit difference among them, and you may choose any provider.  The only exception to this is two hospitals with whom the Plan has direct discounts which are favorable to the Plan, and because of these discounts the Plan can offer greater benefits.  Please refer to the Section I providers Schedule for the names of these hospitals.</w:t>
      </w:r>
    </w:p>
    <w:p w:rsidR="00BD58A2" w:rsidRDefault="00BD58A2" w:rsidP="00BD58A2">
      <w:pPr>
        <w:suppressAutoHyphens/>
        <w:spacing w:after="240"/>
      </w:pPr>
      <w:r>
        <w:t xml:space="preserve">Physicians and all other providers are considered Section II providers and the </w:t>
      </w:r>
      <w:proofErr w:type="spellStart"/>
      <w:r>
        <w:t>Healthsmart</w:t>
      </w:r>
      <w:proofErr w:type="spellEnd"/>
      <w:r>
        <w:t xml:space="preserve"> PPO is in place.  You will generally enjoy greater benefits by selecting a PPO network provider vs. a non-PPO network provider.</w:t>
      </w:r>
    </w:p>
    <w:p w:rsidR="00BD58A2" w:rsidRDefault="00BD58A2" w:rsidP="00BD58A2">
      <w:pPr>
        <w:suppressAutoHyphens/>
        <w:spacing w:after="240"/>
      </w:pPr>
      <w:r>
        <w:t>Each covered person has a free choice of any provider, and the covered person, together with his provider, is ultimately responsible for determining the appropriate course of medical treatment, regardless of whether the Plan will pay for all or a portion of the cost of such care.</w:t>
      </w:r>
    </w:p>
    <w:p w:rsidR="00BD58A2" w:rsidRDefault="00BD58A2" w:rsidP="00BD58A2">
      <w:bookmarkStart w:id="4" w:name="_Toc238291648"/>
      <w:bookmarkStart w:id="5" w:name="_Toc45544263"/>
      <w:r>
        <w:t xml:space="preserve">This Schedule is provided as a convenience only and is not all-inclusive.  The benefits described in this Schedule are subject to change, and are subject to all Plan terms, conditions, maximums, limitations and exclusions applicable to a claim at the time the claim is incurred.  </w:t>
      </w:r>
      <w:r>
        <w:rPr>
          <w:b/>
          <w:u w:val="single"/>
        </w:rPr>
        <w:t>This description should not be considered a guarantee of eligibility, coverage or benefits.</w:t>
      </w:r>
      <w:r>
        <w:rPr>
          <w:b/>
        </w:rPr>
        <w:t xml:space="preserve"> </w:t>
      </w:r>
      <w:r>
        <w:t xml:space="preserve"> All benefit determinations will be based upon the provisions of this Plan and the decision of the Plan Administrator in its sole discretion.</w:t>
      </w:r>
    </w:p>
    <w:p w:rsidR="00BD58A2" w:rsidRDefault="00BD58A2" w:rsidP="00BD58A2"/>
    <w:p w:rsidR="00BD58A2" w:rsidRDefault="00BD58A2" w:rsidP="00BD58A2">
      <w:pPr>
        <w:pStyle w:val="Heading2"/>
      </w:pPr>
      <w:bookmarkStart w:id="6" w:name="_Toc367706458"/>
      <w:r>
        <w:t>Lifetime Maximum Benefits</w:t>
      </w:r>
      <w:bookmarkEnd w:id="4"/>
      <w:bookmarkEnd w:id="6"/>
    </w:p>
    <w:p w:rsidR="00BD58A2" w:rsidRDefault="00BD58A2" w:rsidP="00BD58A2">
      <w:pPr>
        <w:pStyle w:val="BodyText3"/>
        <w:tabs>
          <w:tab w:val="left" w:pos="720"/>
          <w:tab w:val="left" w:pos="1440"/>
          <w:tab w:val="left" w:pos="2160"/>
          <w:tab w:val="left" w:pos="6480"/>
        </w:tabs>
        <w:rPr>
          <w:b w:val="0"/>
          <w:i w:val="0"/>
          <w:sz w:val="20"/>
        </w:rPr>
      </w:pPr>
      <w:r>
        <w:rPr>
          <w:b w:val="0"/>
          <w:i w:val="0"/>
          <w:sz w:val="20"/>
        </w:rPr>
        <w:t>The following lifetime maximums apply to each covered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BD58A2" w:rsidTr="00BD58A2">
        <w:trPr>
          <w:cantSplit/>
        </w:trPr>
        <w:tc>
          <w:tcPr>
            <w:tcW w:w="9360" w:type="dxa"/>
            <w:gridSpan w:val="2"/>
            <w:tcBorders>
              <w:top w:val="single" w:sz="4" w:space="0" w:color="auto"/>
              <w:left w:val="single" w:sz="4" w:space="0" w:color="auto"/>
              <w:bottom w:val="single" w:sz="4" w:space="0" w:color="auto"/>
              <w:right w:val="single" w:sz="4" w:space="0" w:color="auto"/>
            </w:tcBorders>
          </w:tcPr>
          <w:p w:rsidR="00BD58A2" w:rsidRDefault="00BD58A2">
            <w:pPr>
              <w:pStyle w:val="BodyText3"/>
              <w:tabs>
                <w:tab w:val="left" w:pos="720"/>
                <w:tab w:val="left" w:pos="1440"/>
                <w:tab w:val="left" w:pos="2160"/>
                <w:tab w:val="left" w:pos="6480"/>
              </w:tabs>
              <w:jc w:val="center"/>
              <w:rPr>
                <w:i w:val="0"/>
                <w:sz w:val="20"/>
              </w:rPr>
            </w:pPr>
          </w:p>
          <w:p w:rsidR="00BD58A2" w:rsidRDefault="00BD58A2">
            <w:pPr>
              <w:pStyle w:val="BodyText3"/>
              <w:tabs>
                <w:tab w:val="left" w:pos="720"/>
                <w:tab w:val="left" w:pos="1440"/>
                <w:tab w:val="left" w:pos="2160"/>
                <w:tab w:val="left" w:pos="6480"/>
              </w:tabs>
              <w:jc w:val="center"/>
              <w:rPr>
                <w:i w:val="0"/>
                <w:sz w:val="20"/>
              </w:rPr>
            </w:pPr>
            <w:r>
              <w:rPr>
                <w:i w:val="0"/>
                <w:sz w:val="20"/>
              </w:rPr>
              <w:t>Lifetime Maximum Benefits for:</w:t>
            </w:r>
          </w:p>
        </w:tc>
      </w:tr>
      <w:tr w:rsidR="00BD58A2" w:rsidTr="00BD58A2">
        <w:tc>
          <w:tcPr>
            <w:tcW w:w="7200" w:type="dxa"/>
            <w:tcBorders>
              <w:top w:val="single" w:sz="4" w:space="0" w:color="auto"/>
              <w:left w:val="single" w:sz="4" w:space="0" w:color="auto"/>
              <w:bottom w:val="single" w:sz="4" w:space="0" w:color="auto"/>
              <w:right w:val="single" w:sz="4" w:space="0" w:color="auto"/>
            </w:tcBorders>
            <w:hideMark/>
          </w:tcPr>
          <w:p w:rsidR="00BD58A2" w:rsidRDefault="00BD58A2">
            <w:pPr>
              <w:pStyle w:val="BodyText3"/>
              <w:tabs>
                <w:tab w:val="left" w:pos="720"/>
                <w:tab w:val="left" w:pos="1440"/>
                <w:tab w:val="left" w:pos="2160"/>
                <w:tab w:val="left" w:pos="6480"/>
              </w:tabs>
              <w:rPr>
                <w:i w:val="0"/>
                <w:sz w:val="20"/>
              </w:rPr>
            </w:pPr>
            <w:r>
              <w:rPr>
                <w:b w:val="0"/>
                <w:i w:val="0"/>
                <w:sz w:val="20"/>
              </w:rPr>
              <w:t>Lifetime Maximum for All Essential Health Benefits</w:t>
            </w:r>
          </w:p>
        </w:tc>
        <w:tc>
          <w:tcPr>
            <w:tcW w:w="2160" w:type="dxa"/>
            <w:tcBorders>
              <w:top w:val="single" w:sz="4" w:space="0" w:color="auto"/>
              <w:left w:val="single" w:sz="4" w:space="0" w:color="auto"/>
              <w:bottom w:val="single" w:sz="4" w:space="0" w:color="auto"/>
              <w:right w:val="single" w:sz="4" w:space="0" w:color="auto"/>
            </w:tcBorders>
            <w:hideMark/>
          </w:tcPr>
          <w:p w:rsidR="00BD58A2" w:rsidRDefault="00BD58A2">
            <w:pPr>
              <w:pStyle w:val="BodyText3"/>
              <w:tabs>
                <w:tab w:val="left" w:pos="720"/>
                <w:tab w:val="left" w:pos="1440"/>
                <w:tab w:val="left" w:pos="2160"/>
                <w:tab w:val="left" w:pos="6480"/>
              </w:tabs>
              <w:jc w:val="center"/>
              <w:rPr>
                <w:b w:val="0"/>
                <w:i w:val="0"/>
                <w:sz w:val="20"/>
              </w:rPr>
            </w:pPr>
            <w:r>
              <w:rPr>
                <w:b w:val="0"/>
                <w:i w:val="0"/>
                <w:sz w:val="20"/>
                <w:shd w:val="clear" w:color="auto" w:fill="FFFFFF"/>
              </w:rPr>
              <w:t>Unlimited</w:t>
            </w:r>
            <w:r>
              <w:rPr>
                <w:b w:val="0"/>
                <w:i w:val="0"/>
                <w:sz w:val="20"/>
              </w:rPr>
              <w:t xml:space="preserve">                 </w:t>
            </w:r>
          </w:p>
        </w:tc>
      </w:tr>
      <w:tr w:rsidR="00BD58A2" w:rsidTr="00BD58A2">
        <w:tc>
          <w:tcPr>
            <w:tcW w:w="7200" w:type="dxa"/>
            <w:tcBorders>
              <w:top w:val="single" w:sz="4" w:space="0" w:color="auto"/>
              <w:left w:val="single" w:sz="4" w:space="0" w:color="auto"/>
              <w:bottom w:val="single" w:sz="4" w:space="0" w:color="auto"/>
              <w:right w:val="single" w:sz="4" w:space="0" w:color="auto"/>
            </w:tcBorders>
            <w:shd w:val="clear" w:color="auto" w:fill="FFFFFF"/>
            <w:hideMark/>
          </w:tcPr>
          <w:p w:rsidR="00BD58A2" w:rsidRDefault="00BD58A2">
            <w:pPr>
              <w:pStyle w:val="BodyText3"/>
              <w:tabs>
                <w:tab w:val="left" w:pos="720"/>
                <w:tab w:val="left" w:pos="1440"/>
                <w:tab w:val="left" w:pos="2160"/>
                <w:tab w:val="left" w:pos="6480"/>
              </w:tabs>
              <w:rPr>
                <w:b w:val="0"/>
                <w:i w:val="0"/>
                <w:sz w:val="20"/>
              </w:rPr>
            </w:pPr>
            <w:r>
              <w:rPr>
                <w:b w:val="0"/>
                <w:i w:val="0"/>
                <w:sz w:val="20"/>
              </w:rPr>
              <w:t>Hospice Care</w:t>
            </w:r>
          </w:p>
        </w:tc>
        <w:tc>
          <w:tcPr>
            <w:tcW w:w="2160" w:type="dxa"/>
            <w:tcBorders>
              <w:top w:val="single" w:sz="4" w:space="0" w:color="auto"/>
              <w:left w:val="single" w:sz="4" w:space="0" w:color="auto"/>
              <w:bottom w:val="single" w:sz="4" w:space="0" w:color="auto"/>
              <w:right w:val="single" w:sz="4" w:space="0" w:color="auto"/>
            </w:tcBorders>
            <w:hideMark/>
          </w:tcPr>
          <w:p w:rsidR="00BD58A2" w:rsidRDefault="00BD58A2">
            <w:pPr>
              <w:pStyle w:val="BodyText3"/>
              <w:tabs>
                <w:tab w:val="left" w:pos="720"/>
                <w:tab w:val="left" w:pos="1440"/>
                <w:tab w:val="left" w:pos="2160"/>
                <w:tab w:val="left" w:pos="6480"/>
              </w:tabs>
              <w:jc w:val="center"/>
              <w:rPr>
                <w:b w:val="0"/>
                <w:i w:val="0"/>
                <w:sz w:val="20"/>
              </w:rPr>
            </w:pPr>
            <w:r>
              <w:rPr>
                <w:b w:val="0"/>
                <w:i w:val="0"/>
                <w:sz w:val="20"/>
              </w:rPr>
              <w:t>$10,000</w:t>
            </w:r>
          </w:p>
        </w:tc>
      </w:tr>
    </w:tbl>
    <w:p w:rsidR="00BD58A2" w:rsidRDefault="00BD58A2" w:rsidP="00BD58A2">
      <w:pPr>
        <w:pStyle w:val="BodyText3"/>
        <w:tabs>
          <w:tab w:val="left" w:pos="720"/>
          <w:tab w:val="left" w:pos="1440"/>
          <w:tab w:val="left" w:pos="2160"/>
          <w:tab w:val="left" w:pos="6480"/>
        </w:tabs>
        <w:rPr>
          <w:i w:val="0"/>
          <w:sz w:val="20"/>
        </w:rPr>
      </w:pPr>
      <w:r>
        <w:rPr>
          <w:i w:val="0"/>
          <w:sz w:val="20"/>
        </w:rPr>
        <w:tab/>
      </w:r>
    </w:p>
    <w:p w:rsidR="00BD58A2" w:rsidRDefault="00BD58A2" w:rsidP="00BD58A2">
      <w:pPr>
        <w:pBdr>
          <w:top w:val="single" w:sz="4" w:space="1" w:color="auto"/>
          <w:left w:val="single" w:sz="4" w:space="4" w:color="auto"/>
          <w:bottom w:val="single" w:sz="4" w:space="1" w:color="auto"/>
          <w:right w:val="single" w:sz="4" w:space="4" w:color="auto"/>
        </w:pBdr>
        <w:shd w:val="clear" w:color="auto" w:fill="BFBFBF"/>
        <w:jc w:val="center"/>
        <w:rPr>
          <w:b/>
        </w:rPr>
      </w:pPr>
      <w:bookmarkStart w:id="7" w:name="_Toc45544261"/>
      <w:bookmarkStart w:id="8" w:name="_Toc5523947"/>
      <w:r>
        <w:rPr>
          <w:b/>
        </w:rPr>
        <w:t>The plan year for this Plan is the calendar year from September 1 through August 31 each year.</w:t>
      </w:r>
    </w:p>
    <w:p w:rsidR="00BD58A2" w:rsidRDefault="00BD58A2" w:rsidP="00BD58A2">
      <w:pPr>
        <w:rPr>
          <w:sz w:val="16"/>
          <w:szCs w:val="16"/>
        </w:rPr>
      </w:pPr>
    </w:p>
    <w:p w:rsidR="00BD58A2" w:rsidRDefault="00BD58A2" w:rsidP="00BD58A2">
      <w:pPr>
        <w:pStyle w:val="Heading2"/>
      </w:pPr>
      <w:bookmarkStart w:id="9" w:name="_Toc367706459"/>
      <w:bookmarkStart w:id="10" w:name="_Toc238291649"/>
      <w:r>
        <w:t>Plan Year Maximum Benefit</w:t>
      </w:r>
      <w:bookmarkEnd w:id="7"/>
      <w:bookmarkEnd w:id="8"/>
      <w:r>
        <w:t>s</w:t>
      </w:r>
      <w:bookmarkEnd w:id="9"/>
      <w:bookmarkEnd w:id="10"/>
    </w:p>
    <w:p w:rsidR="00BD58A2" w:rsidRDefault="00BD58A2" w:rsidP="00BD58A2">
      <w:pPr>
        <w:pStyle w:val="BodyText3"/>
        <w:tabs>
          <w:tab w:val="left" w:pos="720"/>
          <w:tab w:val="left" w:pos="1440"/>
          <w:tab w:val="left" w:pos="2160"/>
          <w:tab w:val="left" w:pos="6480"/>
        </w:tabs>
        <w:rPr>
          <w:b w:val="0"/>
          <w:i w:val="0"/>
          <w:sz w:val="20"/>
        </w:rPr>
      </w:pPr>
      <w:r>
        <w:rPr>
          <w:b w:val="0"/>
          <w:i w:val="0"/>
          <w:sz w:val="20"/>
        </w:rPr>
        <w:t>Plan year maximums for a benefit which is payable under both Section I and Section II providers will be combined and applied to the maximums listed below.  The following plan year maximums apply to each covered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BD58A2" w:rsidTr="00BD58A2">
        <w:trPr>
          <w:cantSplit/>
        </w:trPr>
        <w:tc>
          <w:tcPr>
            <w:tcW w:w="9360" w:type="dxa"/>
            <w:gridSpan w:val="2"/>
            <w:tcBorders>
              <w:top w:val="single" w:sz="4" w:space="0" w:color="auto"/>
              <w:left w:val="single" w:sz="4" w:space="0" w:color="auto"/>
              <w:bottom w:val="single" w:sz="4" w:space="0" w:color="auto"/>
              <w:right w:val="single" w:sz="4" w:space="0" w:color="auto"/>
            </w:tcBorders>
          </w:tcPr>
          <w:p w:rsidR="00BD58A2" w:rsidRDefault="00BD58A2">
            <w:pPr>
              <w:pStyle w:val="BodyText3"/>
              <w:tabs>
                <w:tab w:val="left" w:pos="720"/>
                <w:tab w:val="left" w:pos="1440"/>
                <w:tab w:val="left" w:pos="2160"/>
                <w:tab w:val="left" w:pos="6480"/>
              </w:tabs>
              <w:jc w:val="center"/>
              <w:rPr>
                <w:i w:val="0"/>
                <w:sz w:val="20"/>
              </w:rPr>
            </w:pPr>
          </w:p>
          <w:p w:rsidR="00BD58A2" w:rsidRDefault="00BD58A2">
            <w:pPr>
              <w:pStyle w:val="BodyText3"/>
              <w:tabs>
                <w:tab w:val="left" w:pos="720"/>
                <w:tab w:val="left" w:pos="1440"/>
                <w:tab w:val="left" w:pos="2160"/>
                <w:tab w:val="left" w:pos="6480"/>
              </w:tabs>
              <w:jc w:val="center"/>
              <w:rPr>
                <w:i w:val="0"/>
                <w:sz w:val="20"/>
              </w:rPr>
            </w:pPr>
            <w:r>
              <w:rPr>
                <w:i w:val="0"/>
                <w:sz w:val="20"/>
              </w:rPr>
              <w:t>Plan Year Maximum Benefits per Covered Person for:</w:t>
            </w:r>
          </w:p>
        </w:tc>
      </w:tr>
      <w:tr w:rsidR="00BD58A2" w:rsidTr="00BD58A2">
        <w:tc>
          <w:tcPr>
            <w:tcW w:w="7200" w:type="dxa"/>
            <w:tcBorders>
              <w:top w:val="single" w:sz="4" w:space="0" w:color="auto"/>
              <w:left w:val="single" w:sz="4" w:space="0" w:color="auto"/>
              <w:bottom w:val="single" w:sz="4" w:space="0" w:color="auto"/>
              <w:right w:val="single" w:sz="6" w:space="0" w:color="auto"/>
            </w:tcBorders>
            <w:hideMark/>
          </w:tcPr>
          <w:p w:rsidR="00BD58A2" w:rsidRDefault="00BD58A2">
            <w:pPr>
              <w:pStyle w:val="BodyText3"/>
              <w:tabs>
                <w:tab w:val="left" w:pos="720"/>
                <w:tab w:val="left" w:pos="1440"/>
                <w:tab w:val="left" w:pos="2160"/>
                <w:tab w:val="left" w:pos="6480"/>
              </w:tabs>
              <w:rPr>
                <w:b w:val="0"/>
                <w:i w:val="0"/>
                <w:sz w:val="20"/>
              </w:rPr>
            </w:pPr>
            <w:r>
              <w:rPr>
                <w:b w:val="0"/>
                <w:i w:val="0"/>
                <w:sz w:val="20"/>
              </w:rPr>
              <w:t>Home Health Care</w:t>
            </w:r>
          </w:p>
        </w:tc>
        <w:tc>
          <w:tcPr>
            <w:tcW w:w="2160" w:type="dxa"/>
            <w:tcBorders>
              <w:top w:val="single" w:sz="4" w:space="0" w:color="auto"/>
              <w:left w:val="single" w:sz="6" w:space="0" w:color="auto"/>
              <w:bottom w:val="single" w:sz="4" w:space="0" w:color="auto"/>
              <w:right w:val="single" w:sz="4" w:space="0" w:color="auto"/>
            </w:tcBorders>
            <w:hideMark/>
          </w:tcPr>
          <w:p w:rsidR="00BD58A2" w:rsidRDefault="00BD58A2">
            <w:pPr>
              <w:pStyle w:val="BodyText3"/>
              <w:tabs>
                <w:tab w:val="left" w:pos="720"/>
                <w:tab w:val="left" w:pos="1440"/>
                <w:tab w:val="left" w:pos="2160"/>
                <w:tab w:val="left" w:pos="6480"/>
              </w:tabs>
              <w:jc w:val="center"/>
              <w:rPr>
                <w:b w:val="0"/>
                <w:i w:val="0"/>
                <w:sz w:val="20"/>
              </w:rPr>
            </w:pPr>
            <w:r>
              <w:rPr>
                <w:b w:val="0"/>
                <w:i w:val="0"/>
                <w:sz w:val="20"/>
              </w:rPr>
              <w:t>60 visits</w:t>
            </w:r>
          </w:p>
        </w:tc>
      </w:tr>
    </w:tbl>
    <w:p w:rsidR="00BD58A2" w:rsidRDefault="00BD58A2" w:rsidP="00BD58A2">
      <w:pPr>
        <w:rPr>
          <w:b/>
          <w:sz w:val="16"/>
          <w:szCs w:val="16"/>
        </w:rPr>
      </w:pPr>
    </w:p>
    <w:p w:rsidR="00BD58A2" w:rsidRDefault="00BD58A2" w:rsidP="00BD58A2">
      <w:pPr>
        <w:pStyle w:val="Heading2"/>
      </w:pPr>
      <w:bookmarkStart w:id="11" w:name="_Toc238291650"/>
      <w:bookmarkStart w:id="12" w:name="_Toc367706460"/>
      <w:r>
        <w:t>Deductible</w:t>
      </w:r>
      <w:bookmarkEnd w:id="11"/>
      <w:r>
        <w:t xml:space="preserve">, </w:t>
      </w:r>
      <w:bookmarkStart w:id="13" w:name="_Toc238291651"/>
      <w:r>
        <w:t>Percentage Payable and Out-of-Pocket Expense Limits</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68"/>
        <w:gridCol w:w="3312"/>
        <w:gridCol w:w="2880"/>
      </w:tblGrid>
      <w:tr w:rsidR="00BD58A2" w:rsidTr="00BD58A2">
        <w:trPr>
          <w:cantSplit/>
        </w:trPr>
        <w:tc>
          <w:tcPr>
            <w:tcW w:w="3168" w:type="dxa"/>
            <w:tcBorders>
              <w:top w:val="single" w:sz="4" w:space="0" w:color="auto"/>
              <w:left w:val="single" w:sz="4" w:space="0" w:color="auto"/>
              <w:bottom w:val="single" w:sz="6" w:space="0" w:color="auto"/>
              <w:right w:val="single" w:sz="6" w:space="0" w:color="auto"/>
            </w:tcBorders>
          </w:tcPr>
          <w:p w:rsidR="00BD58A2" w:rsidRDefault="00BD58A2">
            <w:pPr>
              <w:jc w:val="center"/>
            </w:pPr>
          </w:p>
          <w:p w:rsidR="00BD58A2" w:rsidRDefault="00BD58A2">
            <w:pPr>
              <w:jc w:val="center"/>
            </w:pPr>
          </w:p>
        </w:tc>
        <w:tc>
          <w:tcPr>
            <w:tcW w:w="3312" w:type="dxa"/>
            <w:tcBorders>
              <w:top w:val="single" w:sz="4" w:space="0" w:color="auto"/>
              <w:left w:val="single" w:sz="6" w:space="0" w:color="auto"/>
              <w:bottom w:val="single" w:sz="6" w:space="0" w:color="auto"/>
              <w:right w:val="single" w:sz="6" w:space="0" w:color="auto"/>
            </w:tcBorders>
            <w:hideMark/>
          </w:tcPr>
          <w:p w:rsidR="00BD58A2" w:rsidRDefault="00BD58A2">
            <w:pPr>
              <w:jc w:val="center"/>
              <w:rPr>
                <w:b/>
              </w:rPr>
            </w:pPr>
            <w:r>
              <w:rPr>
                <w:b/>
              </w:rPr>
              <w:t>Section I Providers and</w:t>
            </w:r>
          </w:p>
          <w:p w:rsidR="00BD58A2" w:rsidRDefault="00BD58A2">
            <w:pPr>
              <w:jc w:val="center"/>
              <w:rPr>
                <w:b/>
              </w:rPr>
            </w:pPr>
            <w:r>
              <w:rPr>
                <w:b/>
              </w:rPr>
              <w:t xml:space="preserve">PPO Network Providers </w:t>
            </w:r>
          </w:p>
        </w:tc>
        <w:tc>
          <w:tcPr>
            <w:tcW w:w="2880" w:type="dxa"/>
            <w:tcBorders>
              <w:top w:val="single" w:sz="4" w:space="0" w:color="auto"/>
              <w:left w:val="single" w:sz="6" w:space="0" w:color="auto"/>
              <w:bottom w:val="single" w:sz="6" w:space="0" w:color="auto"/>
              <w:right w:val="single" w:sz="4" w:space="0" w:color="auto"/>
            </w:tcBorders>
          </w:tcPr>
          <w:p w:rsidR="00BD58A2" w:rsidRDefault="00BD58A2">
            <w:pPr>
              <w:jc w:val="center"/>
              <w:rPr>
                <w:b/>
              </w:rPr>
            </w:pPr>
          </w:p>
          <w:p w:rsidR="00BD58A2" w:rsidRDefault="00BD58A2">
            <w:pPr>
              <w:jc w:val="center"/>
              <w:rPr>
                <w:b/>
              </w:rPr>
            </w:pPr>
            <w:r>
              <w:rPr>
                <w:b/>
              </w:rPr>
              <w:t>Non-PPO Network Providers</w:t>
            </w:r>
          </w:p>
        </w:tc>
      </w:tr>
      <w:tr w:rsidR="00BD58A2" w:rsidTr="00BD58A2">
        <w:trPr>
          <w:cantSplit/>
        </w:trPr>
        <w:tc>
          <w:tcPr>
            <w:tcW w:w="3168" w:type="dxa"/>
            <w:tcBorders>
              <w:top w:val="single" w:sz="6" w:space="0" w:color="auto"/>
              <w:left w:val="single" w:sz="4" w:space="0" w:color="auto"/>
              <w:bottom w:val="single" w:sz="6" w:space="0" w:color="auto"/>
              <w:right w:val="single" w:sz="6" w:space="0" w:color="auto"/>
            </w:tcBorders>
            <w:hideMark/>
          </w:tcPr>
          <w:p w:rsidR="00BD58A2" w:rsidRDefault="00BD58A2">
            <w:r>
              <w:t>Plan Year Deductible</w:t>
            </w:r>
          </w:p>
          <w:p w:rsidR="00BD58A2" w:rsidRDefault="00BD58A2">
            <w:pPr>
              <w:pStyle w:val="Preformatted"/>
              <w:numPr>
                <w:ilvl w:val="0"/>
                <w:numId w:val="1"/>
              </w:numPr>
              <w:tabs>
                <w:tab w:val="clear" w:pos="0"/>
                <w:tab w:val="left" w:pos="720"/>
              </w:tabs>
              <w:ind w:left="360" w:hanging="180"/>
              <w:rPr>
                <w:rFonts w:ascii="Times New Roman" w:hAnsi="Times New Roman"/>
              </w:rPr>
            </w:pPr>
            <w:r>
              <w:rPr>
                <w:rFonts w:ascii="Times New Roman" w:hAnsi="Times New Roman"/>
              </w:rPr>
              <w:t>Individual</w:t>
            </w:r>
          </w:p>
          <w:p w:rsidR="00BD58A2" w:rsidRDefault="00BD58A2">
            <w:pPr>
              <w:pStyle w:val="Preformatted"/>
              <w:numPr>
                <w:ilvl w:val="0"/>
                <w:numId w:val="1"/>
              </w:numPr>
              <w:tabs>
                <w:tab w:val="clear" w:pos="0"/>
                <w:tab w:val="left" w:pos="720"/>
              </w:tabs>
              <w:ind w:left="360" w:hanging="180"/>
              <w:rPr>
                <w:rFonts w:ascii="Times New Roman" w:hAnsi="Times New Roman"/>
              </w:rPr>
            </w:pPr>
            <w:r>
              <w:rPr>
                <w:rFonts w:ascii="Times New Roman" w:hAnsi="Times New Roman"/>
              </w:rPr>
              <w:t>Family Unit</w:t>
            </w:r>
          </w:p>
        </w:tc>
        <w:tc>
          <w:tcPr>
            <w:tcW w:w="3312" w:type="dxa"/>
            <w:tcBorders>
              <w:top w:val="single" w:sz="6" w:space="0" w:color="auto"/>
              <w:left w:val="single" w:sz="6" w:space="0" w:color="auto"/>
              <w:bottom w:val="single" w:sz="6" w:space="0" w:color="auto"/>
              <w:right w:val="single" w:sz="6" w:space="0" w:color="auto"/>
            </w:tcBorders>
          </w:tcPr>
          <w:p w:rsidR="00BD58A2" w:rsidRDefault="00BD58A2">
            <w:pPr>
              <w:jc w:val="center"/>
            </w:pPr>
          </w:p>
          <w:p w:rsidR="00BD58A2" w:rsidRDefault="00BD58A2">
            <w:pPr>
              <w:jc w:val="center"/>
            </w:pPr>
            <w:r>
              <w:t>$1,500</w:t>
            </w:r>
          </w:p>
          <w:p w:rsidR="00BD58A2" w:rsidRDefault="00BD58A2">
            <w:pPr>
              <w:jc w:val="center"/>
            </w:pPr>
            <w:r>
              <w:t>$3,000</w:t>
            </w:r>
          </w:p>
        </w:tc>
        <w:tc>
          <w:tcPr>
            <w:tcW w:w="2880" w:type="dxa"/>
            <w:tcBorders>
              <w:top w:val="single" w:sz="6" w:space="0" w:color="auto"/>
              <w:left w:val="single" w:sz="6" w:space="0" w:color="auto"/>
              <w:bottom w:val="single" w:sz="6" w:space="0" w:color="auto"/>
              <w:right w:val="single" w:sz="4" w:space="0" w:color="auto"/>
            </w:tcBorders>
          </w:tcPr>
          <w:p w:rsidR="00BD58A2" w:rsidRDefault="00BD58A2">
            <w:pPr>
              <w:jc w:val="center"/>
            </w:pPr>
          </w:p>
          <w:p w:rsidR="00BD58A2" w:rsidRDefault="00BD58A2">
            <w:pPr>
              <w:jc w:val="center"/>
            </w:pPr>
            <w:r>
              <w:t>$4,500</w:t>
            </w:r>
          </w:p>
          <w:p w:rsidR="00BD58A2" w:rsidRDefault="00BD58A2">
            <w:pPr>
              <w:jc w:val="center"/>
            </w:pPr>
            <w:r>
              <w:t>$9,000</w:t>
            </w:r>
          </w:p>
        </w:tc>
      </w:tr>
      <w:tr w:rsidR="00BD58A2" w:rsidTr="00BD58A2">
        <w:trPr>
          <w:cantSplit/>
        </w:trPr>
        <w:tc>
          <w:tcPr>
            <w:tcW w:w="9360" w:type="dxa"/>
            <w:gridSpan w:val="3"/>
            <w:tcBorders>
              <w:top w:val="single" w:sz="6" w:space="0" w:color="auto"/>
              <w:left w:val="single" w:sz="4" w:space="0" w:color="auto"/>
              <w:bottom w:val="single" w:sz="6" w:space="0" w:color="auto"/>
              <w:right w:val="single" w:sz="4" w:space="0" w:color="auto"/>
            </w:tcBorders>
            <w:hideMark/>
          </w:tcPr>
          <w:p w:rsidR="00BD58A2" w:rsidRDefault="00BD58A2">
            <w:pPr>
              <w:jc w:val="left"/>
            </w:pPr>
          </w:p>
        </w:tc>
      </w:tr>
      <w:tr w:rsidR="00BD58A2" w:rsidTr="00BD58A2">
        <w:trPr>
          <w:cantSplit/>
        </w:trPr>
        <w:tc>
          <w:tcPr>
            <w:tcW w:w="3168" w:type="dxa"/>
            <w:tcBorders>
              <w:top w:val="single" w:sz="6" w:space="0" w:color="auto"/>
              <w:left w:val="single" w:sz="4" w:space="0" w:color="auto"/>
              <w:bottom w:val="single" w:sz="6" w:space="0" w:color="auto"/>
              <w:right w:val="single" w:sz="6" w:space="0" w:color="auto"/>
            </w:tcBorders>
            <w:hideMark/>
          </w:tcPr>
          <w:p w:rsidR="00BD58A2" w:rsidRDefault="00BD58A2">
            <w:pPr>
              <w:pStyle w:val="Preformatted"/>
              <w:tabs>
                <w:tab w:val="clear" w:pos="0"/>
                <w:tab w:val="left" w:pos="720"/>
              </w:tabs>
              <w:rPr>
                <w:rFonts w:ascii="Times New Roman" w:hAnsi="Times New Roman"/>
              </w:rPr>
            </w:pPr>
            <w:r>
              <w:rPr>
                <w:rFonts w:ascii="Times New Roman" w:hAnsi="Times New Roman"/>
              </w:rPr>
              <w:t>Percentage Payable (unless otherwise stated)</w:t>
            </w:r>
          </w:p>
        </w:tc>
        <w:tc>
          <w:tcPr>
            <w:tcW w:w="3312" w:type="dxa"/>
            <w:tcBorders>
              <w:top w:val="single" w:sz="6" w:space="0" w:color="auto"/>
              <w:left w:val="single" w:sz="6" w:space="0" w:color="auto"/>
              <w:bottom w:val="single" w:sz="6" w:space="0" w:color="auto"/>
              <w:right w:val="single" w:sz="6" w:space="0" w:color="auto"/>
            </w:tcBorders>
            <w:hideMark/>
          </w:tcPr>
          <w:p w:rsidR="00BD58A2" w:rsidRDefault="00BD58A2">
            <w:pPr>
              <w:jc w:val="center"/>
            </w:pPr>
            <w:r>
              <w:t>80%</w:t>
            </w:r>
          </w:p>
        </w:tc>
        <w:tc>
          <w:tcPr>
            <w:tcW w:w="2880" w:type="dxa"/>
            <w:tcBorders>
              <w:top w:val="single" w:sz="6" w:space="0" w:color="auto"/>
              <w:left w:val="single" w:sz="6" w:space="0" w:color="auto"/>
              <w:bottom w:val="single" w:sz="6" w:space="0" w:color="auto"/>
              <w:right w:val="single" w:sz="4" w:space="0" w:color="auto"/>
            </w:tcBorders>
            <w:hideMark/>
          </w:tcPr>
          <w:p w:rsidR="00BD58A2" w:rsidRDefault="00BD58A2">
            <w:pPr>
              <w:tabs>
                <w:tab w:val="left" w:pos="1125"/>
                <w:tab w:val="center" w:pos="1332"/>
              </w:tabs>
            </w:pPr>
            <w:r>
              <w:tab/>
              <w:t>60%</w:t>
            </w:r>
          </w:p>
        </w:tc>
      </w:tr>
      <w:tr w:rsidR="00BD58A2" w:rsidTr="00BD58A2">
        <w:trPr>
          <w:cantSplit/>
        </w:trPr>
        <w:tc>
          <w:tcPr>
            <w:tcW w:w="3168" w:type="dxa"/>
            <w:tcBorders>
              <w:top w:val="single" w:sz="6" w:space="0" w:color="auto"/>
              <w:left w:val="single" w:sz="4" w:space="0" w:color="auto"/>
              <w:bottom w:val="single" w:sz="6" w:space="0" w:color="auto"/>
              <w:right w:val="single" w:sz="6" w:space="0" w:color="auto"/>
            </w:tcBorders>
            <w:hideMark/>
          </w:tcPr>
          <w:p w:rsidR="00BD58A2" w:rsidRDefault="00BD58A2">
            <w:r>
              <w:t>Out-of Pocket Expense Limit</w:t>
            </w:r>
          </w:p>
          <w:p w:rsidR="00BD58A2" w:rsidRDefault="00BD58A2">
            <w:pPr>
              <w:pStyle w:val="Preformatted"/>
              <w:numPr>
                <w:ilvl w:val="0"/>
                <w:numId w:val="1"/>
              </w:numPr>
              <w:tabs>
                <w:tab w:val="clear" w:pos="0"/>
                <w:tab w:val="left" w:pos="720"/>
              </w:tabs>
              <w:ind w:left="360" w:hanging="180"/>
              <w:rPr>
                <w:rFonts w:ascii="Times New Roman" w:hAnsi="Times New Roman"/>
              </w:rPr>
            </w:pPr>
            <w:r>
              <w:rPr>
                <w:rFonts w:ascii="Times New Roman" w:hAnsi="Times New Roman"/>
              </w:rPr>
              <w:t>Individual</w:t>
            </w:r>
          </w:p>
          <w:p w:rsidR="00BD58A2" w:rsidRDefault="00BD58A2">
            <w:pPr>
              <w:pStyle w:val="Preformatted"/>
              <w:numPr>
                <w:ilvl w:val="0"/>
                <w:numId w:val="1"/>
              </w:numPr>
              <w:tabs>
                <w:tab w:val="clear" w:pos="0"/>
                <w:tab w:val="left" w:pos="720"/>
              </w:tabs>
              <w:ind w:left="360" w:hanging="180"/>
              <w:rPr>
                <w:rFonts w:ascii="Times New Roman" w:hAnsi="Times New Roman"/>
              </w:rPr>
            </w:pPr>
            <w:r>
              <w:rPr>
                <w:rFonts w:ascii="Times New Roman" w:hAnsi="Times New Roman"/>
              </w:rPr>
              <w:t>Family Unit</w:t>
            </w:r>
          </w:p>
        </w:tc>
        <w:tc>
          <w:tcPr>
            <w:tcW w:w="3312" w:type="dxa"/>
            <w:tcBorders>
              <w:top w:val="single" w:sz="6" w:space="0" w:color="auto"/>
              <w:left w:val="single" w:sz="6" w:space="0" w:color="auto"/>
              <w:bottom w:val="single" w:sz="6" w:space="0" w:color="auto"/>
              <w:right w:val="single" w:sz="6" w:space="0" w:color="auto"/>
            </w:tcBorders>
          </w:tcPr>
          <w:p w:rsidR="00BD58A2" w:rsidRDefault="00BD58A2">
            <w:pPr>
              <w:jc w:val="center"/>
            </w:pPr>
          </w:p>
          <w:p w:rsidR="00BD58A2" w:rsidRDefault="00BD58A2">
            <w:pPr>
              <w:jc w:val="center"/>
            </w:pPr>
            <w:r>
              <w:t>$2,000</w:t>
            </w:r>
          </w:p>
          <w:p w:rsidR="00BD58A2" w:rsidRDefault="00BD58A2">
            <w:pPr>
              <w:jc w:val="center"/>
            </w:pPr>
            <w:r>
              <w:t>$4,000</w:t>
            </w:r>
          </w:p>
        </w:tc>
        <w:tc>
          <w:tcPr>
            <w:tcW w:w="2880" w:type="dxa"/>
            <w:tcBorders>
              <w:top w:val="single" w:sz="6" w:space="0" w:color="auto"/>
              <w:left w:val="single" w:sz="6" w:space="0" w:color="auto"/>
              <w:bottom w:val="single" w:sz="6" w:space="0" w:color="auto"/>
              <w:right w:val="single" w:sz="4" w:space="0" w:color="auto"/>
            </w:tcBorders>
          </w:tcPr>
          <w:p w:rsidR="00BD58A2" w:rsidRDefault="00BD58A2">
            <w:pPr>
              <w:jc w:val="center"/>
            </w:pPr>
          </w:p>
          <w:p w:rsidR="00BD58A2" w:rsidRDefault="00BD58A2">
            <w:pPr>
              <w:jc w:val="center"/>
            </w:pPr>
            <w:r>
              <w:t>$6,000</w:t>
            </w:r>
          </w:p>
          <w:p w:rsidR="00BD58A2" w:rsidRDefault="00BD58A2">
            <w:pPr>
              <w:jc w:val="center"/>
            </w:pPr>
            <w:r>
              <w:t>$12,000</w:t>
            </w:r>
          </w:p>
        </w:tc>
      </w:tr>
      <w:tr w:rsidR="00BD58A2" w:rsidTr="00BD58A2">
        <w:trPr>
          <w:cantSplit/>
        </w:trPr>
        <w:tc>
          <w:tcPr>
            <w:tcW w:w="9360" w:type="dxa"/>
            <w:gridSpan w:val="3"/>
            <w:tcBorders>
              <w:top w:val="single" w:sz="6" w:space="0" w:color="auto"/>
              <w:left w:val="single" w:sz="4" w:space="0" w:color="auto"/>
              <w:bottom w:val="single" w:sz="4" w:space="0" w:color="auto"/>
              <w:right w:val="single" w:sz="4" w:space="0" w:color="auto"/>
            </w:tcBorders>
            <w:hideMark/>
          </w:tcPr>
          <w:p w:rsidR="00BD58A2" w:rsidRDefault="00BD58A2">
            <w:r>
              <w:lastRenderedPageBreak/>
              <w:t xml:space="preserve">*The out-of-pocket expense limit does not include the deductible amount and does not apply to benefits for chiropractic care.  </w:t>
            </w:r>
          </w:p>
        </w:tc>
      </w:tr>
    </w:tbl>
    <w:p w:rsidR="00BD58A2" w:rsidRDefault="00BD58A2" w:rsidP="00BD58A2">
      <w:pPr>
        <w:jc w:val="center"/>
        <w:rPr>
          <w:b/>
          <w:sz w:val="22"/>
          <w:szCs w:val="22"/>
        </w:rPr>
      </w:pPr>
      <w:bookmarkStart w:id="14" w:name="_Toc238291652"/>
      <w:bookmarkEnd w:id="5"/>
      <w:r>
        <w:rPr>
          <w:b/>
          <w:sz w:val="22"/>
          <w:szCs w:val="22"/>
        </w:rPr>
        <w:t>Section I</w:t>
      </w:r>
      <w:bookmarkEnd w:id="14"/>
    </w:p>
    <w:p w:rsidR="00BD58A2" w:rsidRDefault="00BD58A2" w:rsidP="00BD58A2">
      <w:pPr>
        <w:jc w:val="center"/>
        <w:rPr>
          <w:b/>
          <w:sz w:val="22"/>
          <w:szCs w:val="22"/>
        </w:rPr>
      </w:pPr>
      <w:r>
        <w:rPr>
          <w:b/>
          <w:sz w:val="22"/>
          <w:szCs w:val="22"/>
        </w:rPr>
        <w:t>Applicable to facilities including, but not limited to:</w:t>
      </w:r>
    </w:p>
    <w:p w:rsidR="00BD58A2" w:rsidRDefault="00BD58A2" w:rsidP="00BD58A2">
      <w:pPr>
        <w:numPr>
          <w:ilvl w:val="0"/>
          <w:numId w:val="2"/>
        </w:numPr>
        <w:snapToGrid w:val="0"/>
        <w:jc w:val="center"/>
        <w:rPr>
          <w:b/>
          <w:szCs w:val="24"/>
        </w:rPr>
      </w:pPr>
      <w:r>
        <w:rPr>
          <w:b/>
          <w:szCs w:val="24"/>
        </w:rPr>
        <w:t>Hospitals</w:t>
      </w:r>
    </w:p>
    <w:p w:rsidR="00BD58A2" w:rsidRDefault="00BD58A2" w:rsidP="00BD58A2">
      <w:pPr>
        <w:numPr>
          <w:ilvl w:val="0"/>
          <w:numId w:val="2"/>
        </w:numPr>
        <w:snapToGrid w:val="0"/>
        <w:jc w:val="center"/>
        <w:rPr>
          <w:b/>
          <w:szCs w:val="24"/>
        </w:rPr>
      </w:pPr>
      <w:r>
        <w:rPr>
          <w:b/>
          <w:szCs w:val="24"/>
        </w:rPr>
        <w:t>Ambulatory Health Care Centers</w:t>
      </w:r>
    </w:p>
    <w:p w:rsidR="00BD58A2" w:rsidRDefault="00BD58A2" w:rsidP="00BD58A2">
      <w:pPr>
        <w:numPr>
          <w:ilvl w:val="0"/>
          <w:numId w:val="2"/>
        </w:numPr>
        <w:snapToGrid w:val="0"/>
        <w:jc w:val="center"/>
        <w:rPr>
          <w:b/>
          <w:szCs w:val="24"/>
        </w:rPr>
      </w:pPr>
      <w:r>
        <w:rPr>
          <w:b/>
          <w:szCs w:val="24"/>
        </w:rPr>
        <w:t>Dialysis Facilities</w:t>
      </w:r>
    </w:p>
    <w:p w:rsidR="00BD58A2" w:rsidRDefault="00BD58A2" w:rsidP="00BD58A2">
      <w:pPr>
        <w:pStyle w:val="Heading2"/>
      </w:pPr>
    </w:p>
    <w:p w:rsidR="00BD58A2" w:rsidRDefault="00BD58A2" w:rsidP="00BD58A2">
      <w:pPr>
        <w:pStyle w:val="Heading2"/>
      </w:pPr>
      <w:bookmarkStart w:id="15" w:name="_Toc367706461"/>
      <w:bookmarkStart w:id="16" w:name="_Toc238291653"/>
      <w:r>
        <w:t>Payment Levels and Limits – Hospitals, Ambulatory Health Care Centers and Other Facilities</w:t>
      </w:r>
      <w:bookmarkEnd w:id="15"/>
      <w:bookmarkEnd w:id="16"/>
      <w:r>
        <w:t xml:space="preserve"> </w:t>
      </w:r>
    </w:p>
    <w:p w:rsidR="00BD58A2" w:rsidRDefault="00BD58A2" w:rsidP="00BD58A2">
      <w:r>
        <w:t>This section of the Schedule of Medical Benefits applies only to covered expenses which are rendered by hospital facilities, ambulatory health care centers, ambulatory surgery centers, dialysis clinics and other covered facilities.  The benefits shown apply to all such covered, licensed providers of service without regard to participation in a PPO.</w:t>
      </w:r>
    </w:p>
    <w:p w:rsidR="00BD58A2" w:rsidRDefault="00BD58A2" w:rsidP="00BD58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3780"/>
        <w:gridCol w:w="2682"/>
      </w:tblGrid>
      <w:tr w:rsidR="00BD58A2" w:rsidTr="00BD58A2">
        <w:trPr>
          <w:cantSplit/>
        </w:trPr>
        <w:tc>
          <w:tcPr>
            <w:tcW w:w="289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BD58A2" w:rsidRDefault="00BD58A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378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BD58A2" w:rsidRDefault="00BD58A2">
            <w:pPr>
              <w:pStyle w:val="SchBenefits"/>
              <w:keepNext/>
              <w:spacing w:before="0" w:after="0"/>
              <w:jc w:val="center"/>
              <w:rPr>
                <w:rFonts w:ascii="Times New Roman" w:hAnsi="Times New Roman"/>
                <w:b/>
                <w:spacing w:val="0"/>
                <w:sz w:val="20"/>
              </w:rPr>
            </w:pPr>
            <w:bookmarkStart w:id="17" w:name="_Ref368997011"/>
            <w:r>
              <w:rPr>
                <w:rFonts w:ascii="Times New Roman" w:hAnsi="Times New Roman"/>
                <w:b/>
                <w:sz w:val="20"/>
              </w:rPr>
              <w:t>Inpatient Services</w:t>
            </w:r>
            <w:bookmarkEnd w:id="17"/>
            <w:r>
              <w:rPr>
                <w:rFonts w:ascii="Times New Roman" w:hAnsi="Times New Roman"/>
                <w:b/>
                <w:sz w:val="20"/>
              </w:rPr>
              <w:t xml:space="preserve">  </w:t>
            </w:r>
          </w:p>
        </w:tc>
        <w:tc>
          <w:tcPr>
            <w:tcW w:w="2682"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Limits:</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Hospital Medical/Surgical Inpatient Room &amp; Board &amp; Ancillary</w:t>
            </w:r>
          </w:p>
        </w:tc>
        <w:tc>
          <w:tcPr>
            <w:tcW w:w="378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pacing w:val="0"/>
                <w:sz w:val="20"/>
              </w:rPr>
            </w:pPr>
            <w:r>
              <w:rPr>
                <w:rFonts w:ascii="Times New Roman" w:hAnsi="Times New Roman"/>
                <w:spacing w:val="0"/>
                <w:sz w:val="20"/>
              </w:rPr>
              <w:t>80% of allowable claim limits for semi</w:t>
            </w:r>
            <w:r>
              <w:rPr>
                <w:rFonts w:ascii="Times New Roman" w:hAnsi="Times New Roman"/>
                <w:spacing w:val="0"/>
                <w:sz w:val="20"/>
              </w:rPr>
              <w:noBreakHyphen/>
              <w:t>private room and ancillary charges</w:t>
            </w:r>
          </w:p>
          <w:p w:rsidR="00BD58A2" w:rsidRDefault="00BD58A2">
            <w:pPr>
              <w:pStyle w:val="SchbenePPONonPPO"/>
              <w:spacing w:before="0" w:after="0"/>
              <w:rPr>
                <w:rFonts w:ascii="Times New Roman" w:hAnsi="Times New Roman"/>
                <w:spacing w:val="0"/>
                <w:sz w:val="20"/>
              </w:rPr>
            </w:pPr>
          </w:p>
          <w:p w:rsidR="00BD58A2" w:rsidRDefault="00BD58A2">
            <w:pPr>
              <w:pStyle w:val="SchbenePPONonPPO"/>
              <w:numPr>
                <w:ilvl w:val="0"/>
                <w:numId w:val="3"/>
              </w:numPr>
              <w:spacing w:before="0" w:after="0"/>
              <w:rPr>
                <w:rFonts w:ascii="Times New Roman" w:hAnsi="Times New Roman"/>
                <w:b/>
                <w:spacing w:val="0"/>
                <w:sz w:val="20"/>
              </w:rPr>
            </w:pPr>
            <w:r>
              <w:rPr>
                <w:rFonts w:ascii="Times New Roman" w:hAnsi="Times New Roman"/>
                <w:b/>
                <w:spacing w:val="0"/>
                <w:sz w:val="20"/>
                <w:shd w:val="clear" w:color="auto" w:fill="FFFFFF"/>
              </w:rPr>
              <w:t>subject to a $1000 copayment per hospital treatment*</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Mental or Nervous Disorder and Substance Abuse Treatment</w:t>
            </w:r>
            <w:r>
              <w:rPr>
                <w:rFonts w:ascii="Times New Roman" w:hAnsi="Times New Roman"/>
                <w:spacing w:val="0"/>
                <w:sz w:val="20"/>
              </w:rPr>
              <w:br/>
              <w:t>Inpatient  Room &amp; Board &amp; Ancillary</w:t>
            </w:r>
          </w:p>
        </w:tc>
        <w:tc>
          <w:tcPr>
            <w:tcW w:w="378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pacing w:val="0"/>
                <w:sz w:val="20"/>
              </w:rPr>
            </w:pPr>
            <w:r>
              <w:rPr>
                <w:rFonts w:ascii="Times New Roman" w:hAnsi="Times New Roman"/>
                <w:spacing w:val="0"/>
                <w:sz w:val="20"/>
              </w:rPr>
              <w:t>80% of allowable claim limits for semi</w:t>
            </w:r>
            <w:r>
              <w:rPr>
                <w:rFonts w:ascii="Times New Roman" w:hAnsi="Times New Roman"/>
                <w:spacing w:val="0"/>
                <w:sz w:val="20"/>
              </w:rPr>
              <w:noBreakHyphen/>
              <w:t>private room and ancillary charges</w:t>
            </w:r>
          </w:p>
          <w:p w:rsidR="00BD58A2" w:rsidRDefault="00BD58A2">
            <w:pPr>
              <w:pStyle w:val="SchbenePPONonPPO"/>
              <w:spacing w:before="0" w:after="0"/>
              <w:rPr>
                <w:rFonts w:ascii="Times New Roman" w:hAnsi="Times New Roman"/>
                <w:spacing w:val="0"/>
                <w:sz w:val="20"/>
              </w:rPr>
            </w:pPr>
          </w:p>
          <w:p w:rsidR="00BD58A2" w:rsidRDefault="00BD58A2">
            <w:pPr>
              <w:pStyle w:val="SchbenePPONonPPO"/>
              <w:numPr>
                <w:ilvl w:val="0"/>
                <w:numId w:val="3"/>
              </w:numPr>
              <w:spacing w:before="0" w:after="0"/>
              <w:rPr>
                <w:rFonts w:ascii="Times New Roman" w:hAnsi="Times New Roman"/>
                <w:b/>
                <w:spacing w:val="0"/>
                <w:sz w:val="20"/>
              </w:rPr>
            </w:pPr>
            <w:r>
              <w:rPr>
                <w:rFonts w:ascii="Times New Roman" w:hAnsi="Times New Roman"/>
                <w:b/>
                <w:spacing w:val="0"/>
                <w:sz w:val="20"/>
                <w:shd w:val="clear" w:color="auto" w:fill="FFFFFF"/>
              </w:rPr>
              <w:t>subject to a $1000 copayment per hospital treatment*</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9360" w:type="dxa"/>
            <w:gridSpan w:val="3"/>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jc w:val="center"/>
              <w:rPr>
                <w:rFonts w:ascii="Times New Roman" w:hAnsi="Times New Roman"/>
                <w:spacing w:val="0"/>
                <w:sz w:val="20"/>
              </w:rPr>
            </w:pPr>
          </w:p>
          <w:p w:rsidR="00BD58A2" w:rsidRDefault="00BD58A2">
            <w:pPr>
              <w:pStyle w:val="SchBenefits"/>
              <w:spacing w:before="0" w:after="0"/>
              <w:ind w:left="0" w:firstLine="0"/>
              <w:jc w:val="center"/>
              <w:rPr>
                <w:rFonts w:ascii="Times New Roman" w:hAnsi="Times New Roman"/>
                <w:spacing w:val="0"/>
                <w:sz w:val="20"/>
              </w:rPr>
            </w:pPr>
            <w:r>
              <w:rPr>
                <w:rFonts w:ascii="Times New Roman" w:hAnsi="Times New Roman"/>
                <w:spacing w:val="0"/>
                <w:sz w:val="20"/>
              </w:rPr>
              <w:t xml:space="preserve">*The Plan has arranged for a special negotiated discount arrangement at the following facilities.  </w:t>
            </w:r>
            <w:r>
              <w:rPr>
                <w:rFonts w:ascii="Times New Roman" w:hAnsi="Times New Roman"/>
                <w:b/>
                <w:spacing w:val="0"/>
                <w:sz w:val="20"/>
              </w:rPr>
              <w:t>The $1000 copayment requirement is waived for all of these hospital providers:</w:t>
            </w:r>
          </w:p>
          <w:p w:rsidR="00BD58A2" w:rsidRDefault="00BD58A2">
            <w:pPr>
              <w:pStyle w:val="SchBenefits"/>
              <w:spacing w:before="0" w:after="0"/>
              <w:ind w:left="0" w:firstLine="0"/>
              <w:rPr>
                <w:rFonts w:ascii="Times New Roman" w:hAnsi="Times New Roman"/>
                <w:spacing w:val="0"/>
                <w:sz w:val="20"/>
              </w:rPr>
            </w:pP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Covenant Hospital, Lubbock Texas</w:t>
            </w:r>
          </w:p>
          <w:p w:rsidR="00BD58A2" w:rsidRDefault="00BD58A2">
            <w:pPr>
              <w:pStyle w:val="SchBenefits"/>
              <w:spacing w:before="0" w:after="0"/>
              <w:ind w:left="360" w:firstLine="0"/>
              <w:rPr>
                <w:rFonts w:ascii="Times New Roman" w:hAnsi="Times New Roman"/>
                <w:spacing w:val="0"/>
                <w:sz w:val="20"/>
              </w:rPr>
            </w:pP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 xml:space="preserve">Covenant Hospital, </w:t>
            </w:r>
            <w:proofErr w:type="spellStart"/>
            <w:r>
              <w:rPr>
                <w:rFonts w:ascii="Times New Roman" w:hAnsi="Times New Roman"/>
                <w:spacing w:val="0"/>
                <w:sz w:val="20"/>
              </w:rPr>
              <w:t>Levelland</w:t>
            </w:r>
            <w:proofErr w:type="spellEnd"/>
            <w:r>
              <w:rPr>
                <w:rFonts w:ascii="Times New Roman" w:hAnsi="Times New Roman"/>
                <w:spacing w:val="0"/>
                <w:sz w:val="20"/>
              </w:rPr>
              <w:t xml:space="preserve"> Texas</w:t>
            </w:r>
          </w:p>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Skilled Nursing Facility, Convalescent Care and Extended Care Facility</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PPONonPPO"/>
              <w:spacing w:before="0" w:after="0"/>
              <w:rPr>
                <w:rFonts w:ascii="Times New Roman" w:hAnsi="Times New Roman"/>
                <w:spacing w:val="0"/>
                <w:sz w:val="20"/>
              </w:rPr>
            </w:pPr>
            <w:r>
              <w:rPr>
                <w:rFonts w:ascii="Times New Roman" w:hAnsi="Times New Roman"/>
                <w:spacing w:val="0"/>
                <w:sz w:val="20"/>
              </w:rPr>
              <w:t>80% of allowable claim limits for semi</w:t>
            </w:r>
            <w:r>
              <w:rPr>
                <w:rFonts w:ascii="Times New Roman" w:hAnsi="Times New Roman"/>
                <w:spacing w:val="0"/>
                <w:sz w:val="20"/>
              </w:rPr>
              <w:noBreakHyphen/>
              <w:t>private room and ancillary charges</w:t>
            </w:r>
          </w:p>
          <w:p w:rsidR="00BD58A2" w:rsidRDefault="00BD58A2">
            <w:pPr>
              <w:pStyle w:val="SchbenePPONonPPO"/>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BD58A2" w:rsidRDefault="00BD58A2">
            <w:pPr>
              <w:jc w:val="center"/>
            </w:pPr>
            <w:r>
              <w:rPr>
                <w:b/>
              </w:rPr>
              <w:t>Hospital</w:t>
            </w:r>
            <w:r>
              <w:t xml:space="preserve"> </w:t>
            </w:r>
            <w:r>
              <w:rPr>
                <w:b/>
              </w:rPr>
              <w:t>Emergency Room Services</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z w:val="20"/>
              </w:rPr>
              <w:t>Hospital</w:t>
            </w:r>
            <w:r>
              <w:rPr>
                <w:b/>
              </w:rPr>
              <w:t xml:space="preserve"> </w:t>
            </w:r>
            <w:r>
              <w:rPr>
                <w:rFonts w:ascii="Times New Roman" w:hAnsi="Times New Roman"/>
                <w:spacing w:val="0"/>
                <w:sz w:val="20"/>
              </w:rPr>
              <w:t>Emergency Room -  Accident or Illness</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allowable claim limits </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 subject to a $500 copayment per hospital confinement*</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BD58A2" w:rsidRDefault="00BD58A2">
            <w:pPr>
              <w:pStyle w:val="SchBenefits"/>
              <w:spacing w:before="0" w:after="0"/>
              <w:ind w:left="0" w:firstLine="0"/>
              <w:jc w:val="center"/>
              <w:rPr>
                <w:rFonts w:ascii="Times New Roman" w:hAnsi="Times New Roman"/>
                <w:spacing w:val="0"/>
                <w:sz w:val="20"/>
              </w:rPr>
            </w:pPr>
            <w:r>
              <w:rPr>
                <w:rFonts w:ascii="Times New Roman" w:hAnsi="Times New Roman"/>
                <w:b/>
                <w:sz w:val="20"/>
              </w:rPr>
              <w:t>Facility Outpatient Diagnostic Services</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z w:val="20"/>
              </w:rPr>
              <w:t>Diagnostic X-ray and Laboratory</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allowable claim limits </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Facility Charges for Routine Preventive Care</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allowable claim limits </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deductible waived</w:t>
            </w:r>
          </w:p>
        </w:tc>
        <w:tc>
          <w:tcPr>
            <w:tcW w:w="2682" w:type="dxa"/>
            <w:tcBorders>
              <w:top w:val="single" w:sz="6" w:space="0" w:color="auto"/>
              <w:left w:val="single" w:sz="6" w:space="0" w:color="auto"/>
              <w:bottom w:val="single" w:sz="6" w:space="0" w:color="auto"/>
              <w:right w:val="single" w:sz="6" w:space="0" w:color="auto"/>
            </w:tcBorders>
            <w:hideMark/>
          </w:tcPr>
          <w:p w:rsidR="00BD58A2" w:rsidRDefault="00BD58A2">
            <w:r>
              <w:t>First $750 covered at 100% charges over subject to deductible per plan year*</w:t>
            </w:r>
          </w:p>
        </w:tc>
      </w:tr>
      <w:tr w:rsidR="00BD58A2" w:rsidTr="00BD58A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BD58A2" w:rsidRDefault="00BD58A2">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All Other Covered Facility Services and Supplies</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Home Health Care Facility Charges </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allowable claim limits </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682"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visits per plan year maximum</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Hospice Facility Charges</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of allowable claim limits</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deductible waived</w:t>
            </w:r>
          </w:p>
        </w:tc>
        <w:tc>
          <w:tcPr>
            <w:tcW w:w="2682"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Limited to $10,000 per lifetime maximum benefit</w:t>
            </w:r>
          </w:p>
        </w:tc>
      </w:tr>
      <w:tr w:rsidR="00BD58A2" w:rsidTr="00BD58A2">
        <w:trPr>
          <w:cantSplit/>
        </w:trPr>
        <w:tc>
          <w:tcPr>
            <w:tcW w:w="2898"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Other Covered Expenses </w:t>
            </w:r>
          </w:p>
        </w:tc>
        <w:tc>
          <w:tcPr>
            <w:tcW w:w="378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allowable claim limits </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682"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p>
        </w:tc>
      </w:tr>
    </w:tbl>
    <w:p w:rsidR="00BD58A2" w:rsidRDefault="00BD58A2" w:rsidP="00BD58A2">
      <w:pPr>
        <w:pStyle w:val="NoSpacing"/>
        <w:jc w:val="both"/>
        <w:rPr>
          <w:rFonts w:ascii="Times New Roman" w:hAnsi="Times New Roman"/>
          <w:sz w:val="20"/>
          <w:szCs w:val="20"/>
        </w:rPr>
      </w:pPr>
      <w:bookmarkStart w:id="18" w:name="_Toc238291654"/>
      <w:r>
        <w:rPr>
          <w:rFonts w:ascii="Times New Roman" w:hAnsi="Times New Roman"/>
          <w:b/>
          <w:sz w:val="20"/>
          <w:szCs w:val="20"/>
        </w:rPr>
        <w:lastRenderedPageBreak/>
        <w:t xml:space="preserve">Outpatient Dialysis Services:  </w:t>
      </w:r>
      <w:r>
        <w:rPr>
          <w:rFonts w:ascii="Times New Roman" w:hAnsi="Times New Roman"/>
          <w:sz w:val="20"/>
          <w:szCs w:val="20"/>
        </w:rPr>
        <w:t>The Plan does not use a preferred provider organization for dialysis services.  The in-network deductible and co-insurance will apply.</w:t>
      </w:r>
    </w:p>
    <w:p w:rsidR="00BD58A2" w:rsidRDefault="00BD58A2" w:rsidP="00BD58A2">
      <w:pPr>
        <w:pStyle w:val="NoSpacing"/>
        <w:jc w:val="both"/>
        <w:rPr>
          <w:rFonts w:ascii="Times New Roman" w:hAnsi="Times New Roman"/>
          <w:sz w:val="20"/>
          <w:szCs w:val="20"/>
        </w:rPr>
      </w:pPr>
    </w:p>
    <w:p w:rsidR="00BD58A2" w:rsidRDefault="00BD58A2" w:rsidP="00BD58A2">
      <w:pPr>
        <w:pStyle w:val="NoSpacing"/>
        <w:jc w:val="both"/>
        <w:rPr>
          <w:rFonts w:ascii="Times New Roman" w:hAnsi="Times New Roman"/>
          <w:sz w:val="20"/>
          <w:szCs w:val="20"/>
        </w:rPr>
      </w:pPr>
      <w:r>
        <w:rPr>
          <w:rFonts w:ascii="Times New Roman" w:hAnsi="Times New Roman"/>
          <w:sz w:val="20"/>
          <w:szCs w:val="20"/>
        </w:rPr>
        <w:t>Reimbursement for Outpatient Dialysis will be subject to Outpatient Dialysis Service Max Allowable.</w:t>
      </w:r>
    </w:p>
    <w:p w:rsidR="00BD58A2" w:rsidRDefault="00BD58A2" w:rsidP="00BD58A2">
      <w:pPr>
        <w:pStyle w:val="NoSpacing"/>
        <w:jc w:val="both"/>
        <w:rPr>
          <w:rFonts w:ascii="Times New Roman" w:hAnsi="Times New Roman"/>
          <w:sz w:val="20"/>
          <w:szCs w:val="20"/>
        </w:rPr>
      </w:pPr>
    </w:p>
    <w:p w:rsidR="00BD58A2" w:rsidRDefault="00BD58A2" w:rsidP="00BD58A2">
      <w:pPr>
        <w:pStyle w:val="NoSpacing"/>
        <w:jc w:val="both"/>
        <w:rPr>
          <w:rFonts w:ascii="Times New Roman" w:hAnsi="Times New Roman"/>
          <w:sz w:val="20"/>
          <w:szCs w:val="20"/>
        </w:rPr>
      </w:pPr>
      <w:r>
        <w:rPr>
          <w:rFonts w:ascii="Times New Roman" w:hAnsi="Times New Roman"/>
          <w:b/>
          <w:sz w:val="20"/>
          <w:szCs w:val="20"/>
          <w:u w:val="single"/>
        </w:rPr>
        <w:t>Limitations/Requirements:</w:t>
      </w:r>
      <w:r>
        <w:rPr>
          <w:rFonts w:ascii="Times New Roman" w:hAnsi="Times New Roman"/>
          <w:sz w:val="20"/>
          <w:szCs w:val="20"/>
        </w:rPr>
        <w:t xml:space="preserve">  A Covered Person must: 1) Notify Spectrum </w:t>
      </w:r>
      <w:proofErr w:type="gramStart"/>
      <w:r>
        <w:rPr>
          <w:rFonts w:ascii="Times New Roman" w:hAnsi="Times New Roman"/>
          <w:sz w:val="20"/>
          <w:szCs w:val="20"/>
        </w:rPr>
        <w:t>Review  when</w:t>
      </w:r>
      <w:proofErr w:type="gramEnd"/>
      <w:r>
        <w:rPr>
          <w:rFonts w:ascii="Times New Roman" w:hAnsi="Times New Roman"/>
          <w:sz w:val="20"/>
          <w:szCs w:val="20"/>
        </w:rPr>
        <w:t xml:space="preserve"> diagnosed with End Stage Renal Disease (“ESRD”); and 2) Notify  Spectrum Review when dialysis treatment begins;</w:t>
      </w:r>
    </w:p>
    <w:p w:rsidR="00BD58A2" w:rsidRDefault="00BD58A2" w:rsidP="00BD58A2">
      <w:pPr>
        <w:pStyle w:val="NoSpacing"/>
        <w:jc w:val="both"/>
        <w:rPr>
          <w:rFonts w:ascii="Times New Roman" w:hAnsi="Times New Roman"/>
          <w:sz w:val="20"/>
          <w:szCs w:val="20"/>
        </w:rPr>
      </w:pPr>
    </w:p>
    <w:p w:rsidR="00BD58A2" w:rsidRDefault="00BD58A2" w:rsidP="00BD58A2">
      <w:pPr>
        <w:pStyle w:val="NoSpacing"/>
        <w:jc w:val="both"/>
        <w:rPr>
          <w:rFonts w:ascii="Times New Roman" w:hAnsi="Times New Roman"/>
          <w:sz w:val="20"/>
          <w:szCs w:val="20"/>
        </w:rPr>
      </w:pPr>
      <w:r>
        <w:rPr>
          <w:rFonts w:ascii="Times New Roman" w:hAnsi="Times New Roman"/>
          <w:sz w:val="20"/>
          <w:szCs w:val="20"/>
        </w:rPr>
        <w:t>Outpatient Dialysis Max Allowable for outpatient dialysis services is 125% of Medicare allowable fees and the Plan will adjudicate the claims using in network co-insurance.</w:t>
      </w:r>
    </w:p>
    <w:p w:rsidR="00BD58A2" w:rsidRDefault="00BD58A2" w:rsidP="00BD58A2">
      <w:pPr>
        <w:pStyle w:val="Heading2"/>
        <w:rPr>
          <w:sz w:val="24"/>
          <w:szCs w:val="24"/>
        </w:rPr>
      </w:pPr>
    </w:p>
    <w:p w:rsidR="00BD58A2" w:rsidRDefault="00BD58A2" w:rsidP="00BD58A2">
      <w:pPr>
        <w:pStyle w:val="Heading2"/>
        <w:jc w:val="center"/>
        <w:rPr>
          <w:sz w:val="24"/>
          <w:szCs w:val="24"/>
        </w:rPr>
      </w:pPr>
      <w:bookmarkStart w:id="19" w:name="_Toc367706462"/>
      <w:r>
        <w:rPr>
          <w:sz w:val="24"/>
          <w:szCs w:val="24"/>
        </w:rPr>
        <w:t>Section II</w:t>
      </w:r>
      <w:bookmarkEnd w:id="18"/>
      <w:bookmarkEnd w:id="19"/>
      <w:r>
        <w:rPr>
          <w:sz w:val="24"/>
          <w:szCs w:val="24"/>
        </w:rPr>
        <w:t xml:space="preserve"> </w:t>
      </w:r>
    </w:p>
    <w:p w:rsidR="00BD58A2" w:rsidRDefault="00BD58A2" w:rsidP="00BD58A2">
      <w:pPr>
        <w:jc w:val="center"/>
        <w:rPr>
          <w:b/>
          <w:sz w:val="22"/>
          <w:szCs w:val="22"/>
        </w:rPr>
      </w:pPr>
      <w:r>
        <w:rPr>
          <w:b/>
          <w:sz w:val="22"/>
          <w:szCs w:val="22"/>
        </w:rPr>
        <w:t>Applicable to all other providers of service:</w:t>
      </w:r>
    </w:p>
    <w:p w:rsidR="00BD58A2" w:rsidRDefault="00BD58A2" w:rsidP="00BD58A2">
      <w:pPr>
        <w:pStyle w:val="Heading2"/>
        <w:jc w:val="center"/>
        <w:rPr>
          <w:sz w:val="24"/>
          <w:szCs w:val="24"/>
        </w:rPr>
      </w:pPr>
    </w:p>
    <w:p w:rsidR="00BD58A2" w:rsidRDefault="00BD58A2" w:rsidP="00BD58A2">
      <w:pPr>
        <w:pStyle w:val="Heading2"/>
      </w:pPr>
      <w:bookmarkStart w:id="20" w:name="_Toc367706463"/>
      <w:bookmarkStart w:id="21" w:name="_Toc238291655"/>
      <w:r>
        <w:t>Payment Levels and Limits – Physician and Other Provider Expenses</w:t>
      </w:r>
      <w:bookmarkEnd w:id="20"/>
      <w:bookmarkEnd w:id="21"/>
    </w:p>
    <w:p w:rsidR="00BD58A2" w:rsidRDefault="00BD58A2" w:rsidP="00BD58A2">
      <w:r>
        <w:t xml:space="preserve">The following tables apply to all providers of service </w:t>
      </w:r>
      <w:r>
        <w:rPr>
          <w:u w:val="single"/>
        </w:rPr>
        <w:t>other than</w:t>
      </w:r>
      <w:r>
        <w:t xml:space="preserve"> hospital facilities, ambulatory health care centers, and other covered facilities.  Benefits are available, as shown, for reimbursement of covered expenses based upon the provider’s participation in the PPO network.</w:t>
      </w:r>
    </w:p>
    <w:p w:rsidR="00BD58A2" w:rsidRDefault="00BD58A2" w:rsidP="00BD58A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BD58A2" w:rsidTr="00BD58A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BD58A2" w:rsidRDefault="00BD58A2">
            <w:pPr>
              <w:jc w:val="center"/>
              <w:rPr>
                <w:b/>
              </w:rPr>
            </w:pPr>
            <w:r>
              <w:rPr>
                <w:snapToGrid w:val="0"/>
              </w:rPr>
              <w:br w:type="page"/>
            </w:r>
            <w:r>
              <w:rPr>
                <w:b/>
              </w:rPr>
              <w:t>Physician’s Office Services</w:t>
            </w:r>
          </w:p>
        </w:tc>
      </w:tr>
      <w:tr w:rsidR="00BD58A2" w:rsidTr="00BD58A2">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PPO 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t>PPO 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z w:val="20"/>
              </w:rPr>
            </w:pPr>
            <w:r>
              <w:rPr>
                <w:rFonts w:ascii="Times New Roman" w:hAnsi="Times New Roman"/>
                <w:b/>
                <w:sz w:val="20"/>
              </w:rPr>
              <w:t>Limits</w:t>
            </w: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Office Visit – Medical/Surgical</w:t>
            </w:r>
          </w:p>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 of PPO rate after a copayment of $35 per visit</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 xml:space="preserve">deductible waived </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4"/>
              </w:numPr>
              <w:shd w:val="clear" w:color="auto" w:fill="FFFFFF"/>
              <w:spacing w:before="0" w:after="0"/>
              <w:rPr>
                <w:rFonts w:ascii="Times New Roman" w:hAnsi="Times New Roman"/>
                <w:sz w:val="20"/>
              </w:rPr>
            </w:pPr>
            <w:r>
              <w:rPr>
                <w:rFonts w:ascii="Times New Roman" w:hAnsi="Times New Roman"/>
                <w:sz w:val="20"/>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 xml:space="preserve">Office Visit – </w:t>
            </w:r>
            <w:r>
              <w:rPr>
                <w:rFonts w:ascii="Times New Roman" w:hAnsi="Times New Roman"/>
                <w:i/>
                <w:spacing w:val="0"/>
                <w:sz w:val="20"/>
              </w:rPr>
              <w:t xml:space="preserve">Mental or Nervous Disorder </w:t>
            </w:r>
            <w:r>
              <w:rPr>
                <w:rFonts w:ascii="Times New Roman" w:hAnsi="Times New Roman"/>
                <w:spacing w:val="0"/>
                <w:sz w:val="20"/>
              </w:rPr>
              <w:t>and</w:t>
            </w:r>
            <w:r>
              <w:rPr>
                <w:rFonts w:ascii="Times New Roman" w:hAnsi="Times New Roman"/>
                <w:i/>
                <w:spacing w:val="0"/>
                <w:sz w:val="20"/>
              </w:rPr>
              <w:t xml:space="preserve"> Substance Abuse Treatment </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 of PPO rate after a copayment of $35 per visit</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 xml:space="preserve">deductible waived </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4"/>
              </w:numPr>
              <w:shd w:val="clear" w:color="auto" w:fill="FFFFFF"/>
              <w:spacing w:before="0" w:after="0"/>
              <w:rPr>
                <w:rFonts w:ascii="Times New Roman" w:hAnsi="Times New Roman"/>
                <w:sz w:val="20"/>
              </w:rPr>
            </w:pPr>
            <w:r>
              <w:rPr>
                <w:rFonts w:ascii="Times New Roman" w:hAnsi="Times New Roman"/>
                <w:sz w:val="20"/>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Additional Covered Services During Office Visit or within two days of an office visit Including:</w:t>
            </w:r>
          </w:p>
          <w:p w:rsidR="00BD58A2" w:rsidRDefault="00BD58A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 xml:space="preserve">Surgery </w:t>
            </w:r>
          </w:p>
          <w:p w:rsidR="00BD58A2" w:rsidRDefault="00BD58A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Lab or X-rays</w:t>
            </w:r>
          </w:p>
          <w:p w:rsidR="00BD58A2" w:rsidRDefault="00BD58A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Allergy Care</w:t>
            </w:r>
          </w:p>
          <w:p w:rsidR="00BD58A2" w:rsidRDefault="00BD58A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Injections</w:t>
            </w:r>
          </w:p>
          <w:p w:rsidR="00BD58A2" w:rsidRDefault="00BD58A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Other Covered Services</w:t>
            </w:r>
          </w:p>
        </w:tc>
        <w:tc>
          <w:tcPr>
            <w:tcW w:w="2520" w:type="dxa"/>
            <w:tcBorders>
              <w:top w:val="single" w:sz="6" w:space="0" w:color="auto"/>
              <w:left w:val="single" w:sz="6" w:space="0" w:color="auto"/>
              <w:bottom w:val="single" w:sz="6" w:space="0" w:color="auto"/>
              <w:right w:val="single" w:sz="6" w:space="0" w:color="auto"/>
            </w:tcBorders>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Covered expenses payable at 100% up to $500 </w:t>
            </w:r>
          </w:p>
          <w:p w:rsidR="00BD58A2" w:rsidRDefault="00BD58A2">
            <w:pPr>
              <w:pStyle w:val="SchBenefits"/>
              <w:spacing w:before="0" w:after="0"/>
              <w:ind w:left="0" w:firstLine="0"/>
              <w:rPr>
                <w:rFonts w:ascii="Times New Roman" w:hAnsi="Times New Roman"/>
                <w:spacing w:val="0"/>
                <w:sz w:val="20"/>
              </w:rPr>
            </w:pPr>
          </w:p>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thereafter reimbursed at 80% of the PPO rate</w:t>
            </w:r>
          </w:p>
          <w:p w:rsidR="00BD58A2" w:rsidRDefault="00BD58A2">
            <w:pPr>
              <w:pStyle w:val="SchBenefits"/>
              <w:numPr>
                <w:ilvl w:val="0"/>
                <w:numId w:val="6"/>
              </w:numPr>
              <w:spacing w:before="0" w:after="0"/>
              <w:rPr>
                <w:rFonts w:ascii="Times New Roman" w:hAnsi="Times New Roman"/>
                <w:spacing w:val="0"/>
                <w:sz w:val="20"/>
              </w:rPr>
            </w:pPr>
            <w:r>
              <w:rPr>
                <w:rFonts w:ascii="Times New Roman" w:hAnsi="Times New Roman"/>
                <w:spacing w:val="0"/>
                <w:sz w:val="20"/>
              </w:rPr>
              <w:t>deductible applies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7"/>
              </w:numPr>
              <w:spacing w:before="0" w:after="0"/>
              <w:rPr>
                <w:rFonts w:ascii="Times New Roman" w:hAnsi="Times New Roman"/>
                <w:spacing w:val="0"/>
                <w:sz w:val="20"/>
              </w:rPr>
            </w:pPr>
            <w:r>
              <w:rPr>
                <w:rFonts w:ascii="Times New Roman" w:hAnsi="Times New Roman"/>
                <w:sz w:val="20"/>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Routine Preventive Care</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rPr>
              <w:t xml:space="preserve">deductible waived </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4"/>
              </w:numPr>
              <w:shd w:val="clear" w:color="auto" w:fill="FFFFFF"/>
              <w:spacing w:before="0" w:after="0"/>
              <w:rPr>
                <w:rFonts w:ascii="Times New Roman" w:hAnsi="Times New Roman"/>
                <w:sz w:val="20"/>
              </w:rPr>
            </w:pPr>
            <w:r>
              <w:rPr>
                <w:rFonts w:ascii="Times New Roman" w:hAnsi="Times New Roman"/>
                <w:sz w:val="20"/>
              </w:rPr>
              <w:t>deductible  applies</w:t>
            </w:r>
          </w:p>
        </w:tc>
        <w:tc>
          <w:tcPr>
            <w:tcW w:w="1800" w:type="dxa"/>
            <w:tcBorders>
              <w:top w:val="single" w:sz="6" w:space="0" w:color="auto"/>
              <w:left w:val="single" w:sz="6" w:space="0" w:color="auto"/>
              <w:bottom w:val="single" w:sz="6" w:space="0" w:color="auto"/>
              <w:right w:val="single" w:sz="6"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First $750 covered at 100% charges over subject to deductible per plan year*</w:t>
            </w: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rPr>
                <w:rFonts w:ascii="Times New Roman" w:hAnsi="Times New Roman"/>
                <w:spacing w:val="0"/>
                <w:sz w:val="20"/>
              </w:rPr>
            </w:pPr>
            <w:r>
              <w:rPr>
                <w:rFonts w:ascii="Times New Roman" w:hAnsi="Times New Roman"/>
                <w:spacing w:val="0"/>
                <w:sz w:val="20"/>
              </w:rPr>
              <w:t>Chiropractic Care</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50% of PPO rate</w:t>
            </w:r>
          </w:p>
          <w:p w:rsidR="00BD58A2" w:rsidRDefault="00BD58A2">
            <w:pPr>
              <w:pStyle w:val="SchBenefits"/>
              <w:spacing w:before="0" w:after="0"/>
              <w:ind w:left="360" w:firstLine="0"/>
              <w:rPr>
                <w:rFonts w:ascii="Times New Roman" w:hAnsi="Times New Roman"/>
                <w:spacing w:val="0"/>
                <w:sz w:val="20"/>
              </w:rPr>
            </w:pPr>
            <w:r>
              <w:rPr>
                <w:rFonts w:ascii="Times New Roman" w:hAnsi="Times New Roman"/>
                <w:spacing w:val="0"/>
                <w:sz w:val="20"/>
              </w:rPr>
              <w:t xml:space="preserve">       deductible waived</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50% of </w:t>
            </w:r>
            <w:r>
              <w:rPr>
                <w:rFonts w:ascii="Times New Roman" w:hAnsi="Times New Roman"/>
                <w:sz w:val="20"/>
              </w:rPr>
              <w:t>usual, customary and reasonable fees</w:t>
            </w:r>
          </w:p>
        </w:tc>
        <w:tc>
          <w:tcPr>
            <w:tcW w:w="1800" w:type="dxa"/>
            <w:tcBorders>
              <w:top w:val="single" w:sz="6" w:space="0" w:color="auto"/>
              <w:left w:val="single" w:sz="6" w:space="0" w:color="auto"/>
              <w:bottom w:val="single" w:sz="6" w:space="0" w:color="auto"/>
              <w:right w:val="single" w:sz="6"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Limited to $1,500 per plan year maximum</w:t>
            </w:r>
          </w:p>
        </w:tc>
      </w:tr>
    </w:tbl>
    <w:p w:rsidR="00BD58A2" w:rsidRDefault="00BD58A2" w:rsidP="00BD58A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BD58A2" w:rsidTr="00BD58A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BD58A2" w:rsidRDefault="00BD58A2">
            <w:pPr>
              <w:jc w:val="center"/>
              <w:rPr>
                <w:b/>
              </w:rPr>
            </w:pPr>
            <w:r>
              <w:rPr>
                <w:b/>
              </w:rPr>
              <w:t>Physician Services – Inpatient and Outpatient (other than office)</w:t>
            </w:r>
          </w:p>
        </w:tc>
      </w:tr>
      <w:tr w:rsidR="00BD58A2" w:rsidTr="00BD58A2">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PPO Network Providers</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t>PPO 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BD58A2" w:rsidRDefault="00BD58A2">
            <w:pPr>
              <w:pStyle w:val="SchBenefits"/>
              <w:keepNext/>
              <w:spacing w:before="0" w:after="0"/>
              <w:jc w:val="center"/>
              <w:rPr>
                <w:rFonts w:ascii="Times New Roman" w:hAnsi="Times New Roman"/>
                <w:b/>
                <w:sz w:val="20"/>
              </w:rPr>
            </w:pPr>
            <w:r>
              <w:rPr>
                <w:rFonts w:ascii="Times New Roman" w:hAnsi="Times New Roman"/>
                <w:b/>
                <w:sz w:val="20"/>
              </w:rPr>
              <w:t>Limits</w:t>
            </w: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Medical/Surgical Visits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i/>
                <w:spacing w:val="0"/>
                <w:sz w:val="20"/>
              </w:rPr>
              <w:lastRenderedPageBreak/>
              <w:t xml:space="preserve">Mental or Nervous Disorder </w:t>
            </w:r>
            <w:r>
              <w:rPr>
                <w:rFonts w:ascii="Times New Roman" w:hAnsi="Times New Roman"/>
                <w:spacing w:val="0"/>
                <w:sz w:val="20"/>
              </w:rPr>
              <w:t>and</w:t>
            </w:r>
            <w:r>
              <w:rPr>
                <w:rFonts w:ascii="Times New Roman" w:hAnsi="Times New Roman"/>
                <w:i/>
                <w:spacing w:val="0"/>
                <w:sz w:val="20"/>
              </w:rPr>
              <w:t xml:space="preserve"> Substance Abuse Treatment </w:t>
            </w:r>
            <w:r>
              <w:rPr>
                <w:rFonts w:ascii="Times New Roman" w:hAnsi="Times New Roman"/>
                <w:spacing w:val="0"/>
                <w:sz w:val="20"/>
              </w:rPr>
              <w:t>Visits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Surgeon</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tcBorders>
              <w:top w:val="single" w:sz="6" w:space="0" w:color="auto"/>
              <w:left w:val="single" w:sz="6" w:space="0" w:color="auto"/>
              <w:bottom w:val="single" w:sz="6" w:space="0" w:color="auto"/>
              <w:right w:val="single" w:sz="6" w:space="0" w:color="auto"/>
            </w:tcBorders>
          </w:tcPr>
          <w:p w:rsidR="00BD58A2" w:rsidRDefault="00BD58A2">
            <w:pPr>
              <w:pStyle w:val="SchbenePPONonPPO"/>
              <w:spacing w:before="0" w:after="0"/>
              <w:rPr>
                <w:rFonts w:ascii="Times New Roman" w:hAnsi="Times New Roman"/>
                <w:sz w:val="20"/>
              </w:rPr>
            </w:pPr>
          </w:p>
        </w:tc>
      </w:tr>
      <w:tr w:rsidR="00BD58A2" w:rsidTr="00BD58A2">
        <w:trPr>
          <w:cantSplit/>
        </w:trPr>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Assistant Surgeon</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6" w:space="0" w:color="auto"/>
              <w:left w:val="single" w:sz="6" w:space="0" w:color="auto"/>
              <w:bottom w:val="single" w:sz="6" w:space="0" w:color="auto"/>
              <w:right w:val="single" w:sz="6"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tcBorders>
              <w:top w:val="single" w:sz="6" w:space="0" w:color="auto"/>
              <w:left w:val="single" w:sz="6" w:space="0" w:color="auto"/>
              <w:bottom w:val="single" w:sz="6" w:space="0" w:color="auto"/>
              <w:right w:val="single" w:sz="6"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Limited to 25% of surgical fee allowance</w:t>
            </w:r>
          </w:p>
        </w:tc>
      </w:tr>
    </w:tbl>
    <w:p w:rsidR="00BD58A2" w:rsidRDefault="00BD58A2" w:rsidP="00BD58A2">
      <w:pPr>
        <w:pStyle w:val="SchBenefits"/>
        <w:spacing w:before="0" w:after="0"/>
        <w:rPr>
          <w:rFonts w:ascii="Times New Roman" w:hAnsi="Times New Roman"/>
          <w:spacing w:val="0"/>
          <w:sz w:val="20"/>
        </w:rPr>
      </w:pPr>
    </w:p>
    <w:p w:rsidR="00BD58A2" w:rsidRDefault="00BD58A2" w:rsidP="00BD58A2">
      <w:pPr>
        <w:pStyle w:val="SchBenefits"/>
        <w:spacing w:before="0" w:after="0"/>
        <w:rPr>
          <w:rFonts w:ascii="Times New Roman" w:hAnsi="Times New Roman"/>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
        <w:gridCol w:w="2502"/>
        <w:gridCol w:w="2520"/>
        <w:gridCol w:w="18"/>
        <w:gridCol w:w="1782"/>
        <w:gridCol w:w="18"/>
      </w:tblGrid>
      <w:tr w:rsidR="00BD58A2" w:rsidTr="00BD58A2">
        <w:trPr>
          <w:gridAfter w:val="1"/>
          <w:wAfter w:w="18" w:type="dxa"/>
        </w:trPr>
        <w:tc>
          <w:tcPr>
            <w:tcW w:w="9360" w:type="dxa"/>
            <w:gridSpan w:val="6"/>
            <w:tcBorders>
              <w:top w:val="single" w:sz="4" w:space="0" w:color="auto"/>
              <w:left w:val="single" w:sz="4" w:space="0" w:color="auto"/>
              <w:bottom w:val="single" w:sz="4" w:space="0" w:color="auto"/>
              <w:right w:val="single" w:sz="4" w:space="0" w:color="auto"/>
            </w:tcBorders>
            <w:hideMark/>
          </w:tcPr>
          <w:p w:rsidR="00BD58A2" w:rsidRDefault="00BD58A2">
            <w:pPr>
              <w:jc w:val="center"/>
              <w:rPr>
                <w:b/>
              </w:rPr>
            </w:pPr>
            <w:r>
              <w:rPr>
                <w:b/>
              </w:rPr>
              <w:t>Other Covered Services</w:t>
            </w: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PPO 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t>PPO Network Providers</w:t>
            </w:r>
          </w:p>
        </w:tc>
        <w:tc>
          <w:tcPr>
            <w:tcW w:w="180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keepNext/>
              <w:spacing w:before="0" w:after="0"/>
              <w:jc w:val="center"/>
              <w:rPr>
                <w:rFonts w:ascii="Times New Roman" w:hAnsi="Times New Roman"/>
                <w:b/>
                <w:sz w:val="20"/>
              </w:rPr>
            </w:pPr>
            <w:r>
              <w:rPr>
                <w:rFonts w:ascii="Times New Roman" w:hAnsi="Times New Roman"/>
                <w:b/>
                <w:sz w:val="20"/>
              </w:rPr>
              <w:t>Limits</w:t>
            </w: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Ambulance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Ambulance"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 xml:space="preserve"> </w:t>
            </w:r>
            <w:r>
              <w:rPr>
                <w:rFonts w:ascii="Times New Roman" w:hAnsi="Times New Roman"/>
                <w:spacing w:val="0"/>
                <w:sz w:val="20"/>
              </w:rPr>
              <w:sym w:font="Symbol" w:char="00BE"/>
            </w:r>
            <w:r>
              <w:rPr>
                <w:rFonts w:ascii="Times New Roman" w:hAnsi="Times New Roman"/>
                <w:spacing w:val="0"/>
                <w:sz w:val="20"/>
              </w:rPr>
              <w:t xml:space="preserve"> Air or Ground Transportation</w:t>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Therapy</w:t>
            </w:r>
          </w:p>
          <w:p w:rsidR="00BD58A2" w:rsidRDefault="00BD58A2">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Physical</w:t>
            </w:r>
          </w:p>
          <w:p w:rsidR="00BD58A2" w:rsidRDefault="00BD58A2">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Occupational</w:t>
            </w:r>
          </w:p>
          <w:p w:rsidR="00BD58A2" w:rsidRDefault="00BD58A2">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Speech</w:t>
            </w:r>
          </w:p>
          <w:p w:rsidR="00BD58A2" w:rsidRDefault="00BD58A2">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IV and Infusion</w:t>
            </w:r>
          </w:p>
          <w:p w:rsidR="00BD58A2" w:rsidRDefault="00BD58A2">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Cardiac Rehabilitation</w:t>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Chemotherapy and Radiation Therapy</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Chemotherapy”</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BD58A2" w:rsidRDefault="00BD58A2">
            <w:pPr>
              <w:pStyle w:val="SchBenefits"/>
              <w:spacing w:before="0" w:after="0"/>
              <w:ind w:left="270" w:firstLine="0"/>
              <w:rPr>
                <w:rFonts w:ascii="Times New Roman" w:hAnsi="Times New Roman"/>
                <w:spacing w:val="0"/>
                <w:sz w:val="20"/>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Durable Medical Equipment</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Durable medical equipment”</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BD58A2" w:rsidRDefault="00BD58A2">
            <w:pPr>
              <w:pStyle w:val="SchBenefits"/>
              <w:spacing w:before="0" w:after="0"/>
              <w:ind w:left="144" w:hanging="144"/>
              <w:rPr>
                <w:rFonts w:ascii="Times New Roman" w:hAnsi="Times New Roman"/>
                <w:spacing w:val="0"/>
                <w:sz w:val="20"/>
              </w:rPr>
            </w:pPr>
          </w:p>
          <w:p w:rsidR="00BD58A2" w:rsidRDefault="00BD58A2">
            <w:pPr>
              <w:pStyle w:val="SchBenefits"/>
              <w:spacing w:before="0" w:after="0"/>
              <w:ind w:left="0" w:firstLine="0"/>
              <w:rPr>
                <w:rFonts w:ascii="Times New Roman" w:hAnsi="Times New Roman"/>
                <w:spacing w:val="0"/>
                <w:sz w:val="20"/>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hideMark/>
          </w:tcPr>
          <w:p w:rsidR="00BD58A2" w:rsidRDefault="00BD58A2">
            <w:pPr>
              <w:jc w:val="left"/>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Home Health </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Home health care”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Services</w:t>
            </w:r>
          </w:p>
          <w:p w:rsidR="00BD58A2" w:rsidRDefault="00BD58A2">
            <w:pPr>
              <w:pStyle w:val="SchBenefits"/>
              <w:spacing w:before="0" w:after="0"/>
              <w:ind w:left="144" w:hanging="144"/>
              <w:rPr>
                <w:rFonts w:ascii="Times New Roman" w:hAnsi="Times New Roman"/>
                <w:spacing w:val="0"/>
                <w:sz w:val="20"/>
              </w:rPr>
            </w:pPr>
          </w:p>
          <w:p w:rsidR="00BD58A2" w:rsidRDefault="00BD58A2">
            <w:pPr>
              <w:pStyle w:val="SchBenefits"/>
              <w:spacing w:before="0" w:after="0"/>
              <w:ind w:left="0" w:firstLine="0"/>
              <w:rPr>
                <w:rFonts w:ascii="Times New Roman" w:hAnsi="Times New Roman"/>
                <w:spacing w:val="0"/>
                <w:sz w:val="20"/>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Limited to 60 visits per plan year maximum</w:t>
            </w: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Hospice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Hospice”</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BD58A2" w:rsidRDefault="00BD58A2">
            <w:pPr>
              <w:pStyle w:val="SchBenefits"/>
              <w:spacing w:before="0" w:after="0"/>
              <w:ind w:left="0" w:firstLine="0"/>
              <w:rPr>
                <w:rFonts w:ascii="Times New Roman" w:hAnsi="Times New Roman"/>
                <w:spacing w:val="0"/>
                <w:sz w:val="20"/>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100%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waived</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waived</w:t>
            </w:r>
          </w:p>
        </w:tc>
        <w:tc>
          <w:tcPr>
            <w:tcW w:w="180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Limited to $5,000 per lifetime maximum benefit</w:t>
            </w: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Diagnostic Laboratory and X-Ray, and Pathologist Fees and Radiologist Fees</w:t>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Prosthetic Devices and Medical Supplies</w:t>
            </w:r>
          </w:p>
          <w:p w:rsidR="00BD58A2" w:rsidRDefault="00BD58A2">
            <w:pPr>
              <w:pStyle w:val="SchBenefits"/>
              <w:spacing w:before="0" w:after="0"/>
              <w:ind w:left="144" w:hanging="144"/>
              <w:rPr>
                <w:rFonts w:ascii="Times New Roman" w:hAnsi="Times New Roman"/>
                <w:spacing w:val="0"/>
                <w:sz w:val="20"/>
              </w:rPr>
            </w:pPr>
          </w:p>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“Behavioral modification programs” </w:instrText>
            </w:r>
            <w:r>
              <w:rPr>
                <w:rFonts w:ascii="Times New Roman" w:hAnsi="Times New Roman"/>
                <w:spacing w:val="0"/>
                <w:sz w:val="20"/>
              </w:rPr>
              <w:fldChar w:fldCharType="end"/>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pacing w:val="0"/>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Prescription Drugs – Pharmacy Purchase</w:t>
            </w:r>
          </w:p>
        </w:tc>
        <w:tc>
          <w:tcPr>
            <w:tcW w:w="5040" w:type="dxa"/>
            <w:gridSpan w:val="3"/>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sz w:val="20"/>
              </w:rPr>
              <w:t>usual, customary and reasonable fees, deductible waived, subject to copayments as follows:</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$5 per prescription or refill for generic drugs</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$25 per prescription or refill for brand name drug preferred copayment*</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 xml:space="preserve">$40 per prescription or refill for brand name drug non-preferred copayment* </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$80 per prescription or refill for brand name drug when a Generic Therapeutic Alternative is available</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r>
              <w:rPr>
                <w:rFonts w:ascii="Times New Roman" w:hAnsi="Times New Roman"/>
                <w:sz w:val="20"/>
              </w:rPr>
              <w:t>Limited to 30-day supply per purchase</w:t>
            </w:r>
          </w:p>
          <w:p w:rsidR="00BD58A2" w:rsidRDefault="00BD58A2">
            <w:pPr>
              <w:pStyle w:val="SchbenePPONonPPO"/>
              <w:spacing w:before="0" w:after="0"/>
              <w:rPr>
                <w:rFonts w:ascii="Times New Roman" w:hAnsi="Times New Roman"/>
                <w:sz w:val="20"/>
              </w:rPr>
            </w:pPr>
          </w:p>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lastRenderedPageBreak/>
              <w:t>Prescription Drugs – Mail Order Purchase</w:t>
            </w:r>
          </w:p>
        </w:tc>
        <w:tc>
          <w:tcPr>
            <w:tcW w:w="5040" w:type="dxa"/>
            <w:gridSpan w:val="3"/>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sz w:val="20"/>
              </w:rPr>
              <w:t>usual, customary and reasonable fees, deductible waived, subject to copayments as follows:</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$12.50 per prescription or refill for generic drugs</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$62.50 per prescription or refill for brand name drugs preferred copayment*</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$100 per prescription or refill for brand name drugs non preferred copayment</w:t>
            </w:r>
          </w:p>
          <w:p w:rsidR="00BD58A2" w:rsidRDefault="00BD58A2">
            <w:pPr>
              <w:pStyle w:val="SchBenefits"/>
              <w:numPr>
                <w:ilvl w:val="0"/>
                <w:numId w:val="3"/>
              </w:numPr>
              <w:spacing w:before="0" w:after="0"/>
              <w:rPr>
                <w:rFonts w:ascii="Times New Roman" w:hAnsi="Times New Roman"/>
                <w:sz w:val="20"/>
              </w:rPr>
            </w:pPr>
            <w:r>
              <w:rPr>
                <w:rFonts w:ascii="Times New Roman" w:hAnsi="Times New Roman"/>
                <w:sz w:val="20"/>
              </w:rPr>
              <w:t>$200 per prescription or refill for brand name drug when a Generic Therapeutic Alternative is available</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r>
              <w:rPr>
                <w:rFonts w:ascii="Times New Roman" w:hAnsi="Times New Roman"/>
                <w:sz w:val="20"/>
              </w:rPr>
              <w:t>Limited to 90-day supply per purchase</w:t>
            </w:r>
          </w:p>
          <w:p w:rsidR="00BD58A2" w:rsidRDefault="00BD58A2">
            <w:pPr>
              <w:pStyle w:val="SchbenePPONonPPO"/>
              <w:spacing w:before="0" w:after="0"/>
              <w:rPr>
                <w:rFonts w:ascii="Times New Roman" w:hAnsi="Times New Roman"/>
                <w:sz w:val="20"/>
              </w:rPr>
            </w:pPr>
          </w:p>
          <w:p w:rsidR="00BD58A2" w:rsidRDefault="00BD58A2">
            <w:pPr>
              <w:pStyle w:val="SchbenePPONonPPO"/>
              <w:spacing w:before="0" w:after="0"/>
              <w:rPr>
                <w:rFonts w:ascii="Times New Roman" w:hAnsi="Times New Roman"/>
                <w:sz w:val="20"/>
              </w:rPr>
            </w:pPr>
          </w:p>
        </w:tc>
      </w:tr>
      <w:tr w:rsidR="00BD58A2" w:rsidTr="00BD58A2">
        <w:trPr>
          <w:gridAfter w:val="1"/>
          <w:wAfter w:w="18" w:type="dxa"/>
        </w:trPr>
        <w:tc>
          <w:tcPr>
            <w:tcW w:w="9360" w:type="dxa"/>
            <w:gridSpan w:val="6"/>
            <w:tcBorders>
              <w:top w:val="single" w:sz="4" w:space="0" w:color="auto"/>
              <w:left w:val="single" w:sz="4" w:space="0" w:color="auto"/>
              <w:bottom w:val="single" w:sz="4" w:space="0" w:color="auto"/>
              <w:right w:val="single" w:sz="4" w:space="0" w:color="auto"/>
            </w:tcBorders>
            <w:hideMark/>
          </w:tcPr>
          <w:p w:rsidR="00BD58A2" w:rsidRDefault="00BD58A2">
            <w:pPr>
              <w:pStyle w:val="SchbenePPONonPPO"/>
              <w:spacing w:before="0" w:after="0"/>
              <w:rPr>
                <w:rFonts w:ascii="Times New Roman" w:hAnsi="Times New Roman"/>
                <w:sz w:val="20"/>
              </w:rPr>
            </w:pPr>
            <w:r>
              <w:rPr>
                <w:rFonts w:ascii="Times New Roman" w:hAnsi="Times New Roman"/>
                <w:sz w:val="20"/>
              </w:rPr>
              <w:t>*Unless a brand name drug is ordered “dispense as written” by your physician, you must also pay the difference in cost between a generic drug and its brand name equivalent.</w:t>
            </w:r>
          </w:p>
        </w:tc>
      </w:tr>
      <w:tr w:rsidR="00BD58A2" w:rsidTr="00BD58A2">
        <w:trPr>
          <w:gridAfter w:val="1"/>
          <w:wAfter w:w="18" w:type="dxa"/>
        </w:trPr>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144" w:hanging="144"/>
              <w:rPr>
                <w:rFonts w:ascii="Times New Roman" w:hAnsi="Times New Roman"/>
                <w:spacing w:val="0"/>
                <w:sz w:val="20"/>
              </w:rPr>
            </w:pPr>
            <w:r>
              <w:rPr>
                <w:rFonts w:ascii="Times New Roman" w:hAnsi="Times New Roman"/>
                <w:spacing w:val="0"/>
                <w:sz w:val="20"/>
              </w:rPr>
              <w:t>Other Covered Expenses</w:t>
            </w:r>
          </w:p>
        </w:tc>
        <w:tc>
          <w:tcPr>
            <w:tcW w:w="2520" w:type="dxa"/>
            <w:gridSpan w:val="2"/>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pacing w:val="0"/>
                <w:sz w:val="20"/>
              </w:rPr>
            </w:pPr>
            <w:r>
              <w:rPr>
                <w:rFonts w:ascii="Times New Roman" w:hAnsi="Times New Roman"/>
                <w:spacing w:val="0"/>
                <w:sz w:val="20"/>
              </w:rPr>
              <w:t>80% of PPO rate</w:t>
            </w:r>
          </w:p>
          <w:p w:rsidR="00BD58A2" w:rsidRDefault="00BD58A2">
            <w:pPr>
              <w:pStyle w:val="SchBenefits"/>
              <w:numPr>
                <w:ilvl w:val="0"/>
                <w:numId w:val="3"/>
              </w:numPr>
              <w:spacing w:before="0" w:after="0"/>
              <w:rPr>
                <w:rFonts w:ascii="Times New Roman" w:hAnsi="Times New Roman"/>
                <w:spacing w:val="0"/>
                <w:sz w:val="20"/>
              </w:rPr>
            </w:pPr>
            <w:r>
              <w:rPr>
                <w:rFonts w:ascii="Times New Roman" w:hAnsi="Times New Roman"/>
                <w:spacing w:val="0"/>
                <w:sz w:val="20"/>
                <w:shd w:val="clear" w:color="auto" w:fill="FFFFFF"/>
              </w:rPr>
              <w:t>deductible  applies</w:t>
            </w:r>
          </w:p>
        </w:tc>
        <w:tc>
          <w:tcPr>
            <w:tcW w:w="2520" w:type="dxa"/>
            <w:tcBorders>
              <w:top w:val="single" w:sz="4" w:space="0" w:color="auto"/>
              <w:left w:val="single" w:sz="4" w:space="0" w:color="auto"/>
              <w:bottom w:val="single" w:sz="4" w:space="0" w:color="auto"/>
              <w:right w:val="single" w:sz="4" w:space="0" w:color="auto"/>
            </w:tcBorders>
            <w:hideMark/>
          </w:tcPr>
          <w:p w:rsidR="00BD58A2" w:rsidRDefault="00BD58A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sz w:val="20"/>
              </w:rPr>
              <w:t>usual, customary and reasonable fees</w:t>
            </w:r>
          </w:p>
          <w:p w:rsidR="00BD58A2" w:rsidRDefault="00BD58A2">
            <w:pPr>
              <w:pStyle w:val="SchBenefits"/>
              <w:numPr>
                <w:ilvl w:val="0"/>
                <w:numId w:val="3"/>
              </w:numPr>
              <w:shd w:val="clear" w:color="auto" w:fill="FFFFFF"/>
              <w:spacing w:before="0" w:after="0"/>
            </w:pPr>
            <w:r>
              <w:rPr>
                <w:rFonts w:ascii="Times New Roman" w:hAnsi="Times New Roman"/>
                <w:spacing w:val="0"/>
                <w:sz w:val="20"/>
                <w:shd w:val="clear" w:color="auto" w:fill="FFFFFF"/>
              </w:rPr>
              <w:t>deductible  applies</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Pr>
              <w:pStyle w:val="SchbenePPONonPPO"/>
              <w:spacing w:before="0" w:after="0"/>
              <w:rPr>
                <w:rFonts w:ascii="Times New Roman" w:hAnsi="Times New Roman"/>
                <w:sz w:val="20"/>
              </w:rPr>
            </w:pPr>
          </w:p>
        </w:tc>
      </w:tr>
      <w:tr w:rsidR="00BD58A2" w:rsidTr="00BD58A2">
        <w:tc>
          <w:tcPr>
            <w:tcW w:w="2538" w:type="dxa"/>
            <w:gridSpan w:val="2"/>
            <w:tcBorders>
              <w:top w:val="single" w:sz="4" w:space="0" w:color="auto"/>
              <w:left w:val="single" w:sz="4" w:space="0" w:color="auto"/>
              <w:bottom w:val="single" w:sz="4" w:space="0" w:color="auto"/>
              <w:right w:val="single" w:sz="4" w:space="0" w:color="auto"/>
            </w:tcBorders>
            <w:hideMark/>
          </w:tcPr>
          <w:p w:rsidR="00BD58A2" w:rsidRDefault="00BD58A2">
            <w:pPr>
              <w:rPr>
                <w:b/>
              </w:rPr>
            </w:pPr>
            <w:r>
              <w:rPr>
                <w:b/>
              </w:rPr>
              <w:t>Vision Benefits</w:t>
            </w:r>
          </w:p>
          <w:p w:rsidR="00BD58A2" w:rsidRDefault="00BD58A2">
            <w:r>
              <w:t xml:space="preserve">Eye Exam (including </w:t>
            </w:r>
            <w:proofErr w:type="spellStart"/>
            <w:r>
              <w:t>Refreactions</w:t>
            </w:r>
            <w:proofErr w:type="spellEnd"/>
            <w:r>
              <w:t>)</w:t>
            </w:r>
          </w:p>
          <w:p w:rsidR="00BD58A2" w:rsidRDefault="00BD58A2">
            <w:r>
              <w:t>Lenses, Frames, and Contact Lenses</w:t>
            </w:r>
          </w:p>
        </w:tc>
        <w:tc>
          <w:tcPr>
            <w:tcW w:w="5040" w:type="dxa"/>
            <w:gridSpan w:val="3"/>
            <w:tcBorders>
              <w:top w:val="single" w:sz="4" w:space="0" w:color="auto"/>
              <w:left w:val="single" w:sz="4" w:space="0" w:color="auto"/>
              <w:bottom w:val="single" w:sz="4" w:space="0" w:color="auto"/>
              <w:right w:val="single" w:sz="4" w:space="0" w:color="auto"/>
            </w:tcBorders>
          </w:tcPr>
          <w:p w:rsidR="00BD58A2" w:rsidRDefault="00BD58A2"/>
          <w:p w:rsidR="00BD58A2" w:rsidRDefault="00BD58A2">
            <w:r>
              <w:t>100% deductible waived</w:t>
            </w:r>
          </w:p>
          <w:p w:rsidR="00BD58A2" w:rsidRDefault="00BD58A2"/>
          <w:p w:rsidR="00BD58A2" w:rsidRDefault="00BD58A2">
            <w:r>
              <w:t>100% deductible waived</w:t>
            </w:r>
          </w:p>
        </w:tc>
        <w:tc>
          <w:tcPr>
            <w:tcW w:w="1800" w:type="dxa"/>
            <w:gridSpan w:val="2"/>
            <w:tcBorders>
              <w:top w:val="single" w:sz="4" w:space="0" w:color="auto"/>
              <w:left w:val="single" w:sz="4" w:space="0" w:color="auto"/>
              <w:bottom w:val="single" w:sz="4" w:space="0" w:color="auto"/>
              <w:right w:val="single" w:sz="4" w:space="0" w:color="auto"/>
            </w:tcBorders>
          </w:tcPr>
          <w:p w:rsidR="00BD58A2" w:rsidRDefault="00BD58A2"/>
          <w:p w:rsidR="00BD58A2" w:rsidRDefault="00BD58A2">
            <w:r>
              <w:t>1 exam per plan year</w:t>
            </w:r>
          </w:p>
          <w:p w:rsidR="00BD58A2" w:rsidRDefault="00BD58A2"/>
          <w:p w:rsidR="00BD58A2" w:rsidRDefault="00BD58A2">
            <w:r>
              <w:t xml:space="preserve">$200 per plan year maximum </w:t>
            </w:r>
          </w:p>
        </w:tc>
      </w:tr>
    </w:tbl>
    <w:p w:rsidR="00BD58A2" w:rsidRDefault="00BD58A2" w:rsidP="00BD58A2">
      <w:r>
        <w:t>*Preventive care benefit of up to $750 covered at 100% applies to any facility charges and/or physician charges</w:t>
      </w:r>
    </w:p>
    <w:p w:rsidR="000E7C2E" w:rsidRDefault="000E7C2E"/>
    <w:sectPr w:rsidR="000E7C2E" w:rsidSect="000E7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1571"/>
    <w:multiLevelType w:val="hybridMultilevel"/>
    <w:tmpl w:val="65EA24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576F59"/>
    <w:multiLevelType w:val="hybridMultilevel"/>
    <w:tmpl w:val="D37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4A4E6A"/>
    <w:multiLevelType w:val="hybridMultilevel"/>
    <w:tmpl w:val="1830461C"/>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8E6201"/>
    <w:multiLevelType w:val="hybridMultilevel"/>
    <w:tmpl w:val="22F8D4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5A2CDB"/>
    <w:multiLevelType w:val="hybridMultilevel"/>
    <w:tmpl w:val="11B4A3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C4B5747"/>
    <w:multiLevelType w:val="hybridMultilevel"/>
    <w:tmpl w:val="2108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8063E34"/>
    <w:multiLevelType w:val="hybridMultilevel"/>
    <w:tmpl w:val="21A2BFA2"/>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D7B3732"/>
    <w:multiLevelType w:val="hybridMultilevel"/>
    <w:tmpl w:val="6AB2912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2"/>
    <w:rsid w:val="000E7C2E"/>
    <w:rsid w:val="00BD58A2"/>
    <w:rsid w:val="00CD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B66F5-4CF3-4E69-A529-728CAA7C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A2"/>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D58A2"/>
    <w:pPr>
      <w:keepNext/>
      <w:tabs>
        <w:tab w:val="left" w:pos="9360"/>
      </w:tabs>
      <w:spacing w:after="240"/>
      <w:jc w:val="left"/>
      <w:outlineLvl w:val="0"/>
    </w:pPr>
    <w:rPr>
      <w:b/>
      <w:sz w:val="22"/>
      <w:u w:val="single"/>
    </w:rPr>
  </w:style>
  <w:style w:type="paragraph" w:styleId="Heading2">
    <w:name w:val="heading 2"/>
    <w:basedOn w:val="Normal"/>
    <w:next w:val="Normal"/>
    <w:link w:val="Heading2Char"/>
    <w:autoRedefine/>
    <w:semiHidden/>
    <w:unhideWhenUsed/>
    <w:qFormat/>
    <w:rsid w:val="00BD58A2"/>
    <w:pPr>
      <w:keepNext/>
      <w:jc w:val="left"/>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A2"/>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semiHidden/>
    <w:rsid w:val="00BD58A2"/>
    <w:rPr>
      <w:rFonts w:ascii="Times New Roman Bold" w:eastAsia="Times New Roman" w:hAnsi="Times New Roman Bold" w:cs="Times New Roman"/>
      <w:b/>
      <w:sz w:val="20"/>
      <w:szCs w:val="20"/>
    </w:rPr>
  </w:style>
  <w:style w:type="paragraph" w:styleId="BodyText3">
    <w:name w:val="Body Text 3"/>
    <w:basedOn w:val="Normal"/>
    <w:link w:val="BodyText3Char"/>
    <w:unhideWhenUsed/>
    <w:rsid w:val="00BD58A2"/>
    <w:rPr>
      <w:b/>
      <w:i/>
      <w:sz w:val="24"/>
    </w:rPr>
  </w:style>
  <w:style w:type="character" w:customStyle="1" w:styleId="BodyText3Char">
    <w:name w:val="Body Text 3 Char"/>
    <w:basedOn w:val="DefaultParagraphFont"/>
    <w:link w:val="BodyText3"/>
    <w:rsid w:val="00BD58A2"/>
    <w:rPr>
      <w:rFonts w:ascii="Times New Roman" w:eastAsia="Times New Roman" w:hAnsi="Times New Roman" w:cs="Times New Roman"/>
      <w:b/>
      <w:i/>
      <w:sz w:val="24"/>
      <w:szCs w:val="20"/>
    </w:rPr>
  </w:style>
  <w:style w:type="paragraph" w:styleId="NoSpacing">
    <w:name w:val="No Spacing"/>
    <w:uiPriority w:val="1"/>
    <w:qFormat/>
    <w:rsid w:val="00BD58A2"/>
    <w:pPr>
      <w:spacing w:after="0" w:line="240" w:lineRule="auto"/>
    </w:pPr>
    <w:rPr>
      <w:rFonts w:ascii="Calibri" w:eastAsia="Calibri" w:hAnsi="Calibri" w:cs="Times New Roman"/>
    </w:rPr>
  </w:style>
  <w:style w:type="paragraph" w:customStyle="1" w:styleId="Preformatted">
    <w:name w:val="Preformatted"/>
    <w:basedOn w:val="Normal"/>
    <w:rsid w:val="00BD58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rPr>
  </w:style>
  <w:style w:type="paragraph" w:customStyle="1" w:styleId="SchBenefits">
    <w:name w:val="Sch Benefits"/>
    <w:rsid w:val="00BD58A2"/>
    <w:pPr>
      <w:suppressAutoHyphens/>
      <w:spacing w:before="40" w:after="40" w:line="240" w:lineRule="auto"/>
      <w:ind w:left="288" w:hanging="288"/>
    </w:pPr>
    <w:rPr>
      <w:rFonts w:ascii="Arial" w:eastAsia="Times New Roman" w:hAnsi="Arial" w:cs="Times New Roman"/>
      <w:spacing w:val="-3"/>
      <w:sz w:val="18"/>
      <w:szCs w:val="20"/>
    </w:rPr>
  </w:style>
  <w:style w:type="paragraph" w:customStyle="1" w:styleId="SchbenePPONonPPO">
    <w:name w:val="Sch bene PPO/NonPPO"/>
    <w:basedOn w:val="SchBenefits"/>
    <w:rsid w:val="00BD58A2"/>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Quisenberry</cp:lastModifiedBy>
  <cp:revision>2</cp:revision>
  <cp:lastPrinted>2014-07-10T17:53:00Z</cp:lastPrinted>
  <dcterms:created xsi:type="dcterms:W3CDTF">2014-07-11T15:25:00Z</dcterms:created>
  <dcterms:modified xsi:type="dcterms:W3CDTF">2014-07-11T15:25:00Z</dcterms:modified>
</cp:coreProperties>
</file>